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82314" w14:textId="28E9F201" w:rsidR="0072138D" w:rsidRDefault="0072138D" w:rsidP="0072138D">
      <w:pPr>
        <w:pStyle w:val="3GPPHeader"/>
        <w:spacing w:after="0"/>
        <w:rPr>
          <w:highlight w:val="yellow"/>
        </w:rPr>
      </w:pPr>
      <w:bookmarkStart w:id="0" w:name="_GoBack"/>
      <w:bookmarkEnd w:id="0"/>
      <w:r>
        <w:rPr>
          <w:noProof/>
        </w:rPr>
        <w:t>3GPP</w:t>
      </w:r>
      <w:r>
        <w:t xml:space="preserve"> TSG RAN WG1 Meeting #92Bis</w:t>
      </w:r>
      <w:r>
        <w:tab/>
      </w:r>
      <w:r w:rsidR="009A0598" w:rsidRPr="009A0598">
        <w:t>R1-1805005</w:t>
      </w:r>
    </w:p>
    <w:p w14:paraId="65B686A9" w14:textId="77777777" w:rsidR="0072138D" w:rsidRDefault="0072138D" w:rsidP="0072138D">
      <w:pPr>
        <w:pStyle w:val="3GPPHeader"/>
        <w:spacing w:after="0"/>
        <w:rPr>
          <w:sz w:val="22"/>
        </w:rPr>
      </w:pPr>
      <w:r>
        <w:rPr>
          <w:sz w:val="22"/>
        </w:rPr>
        <w:t>Sanya, China, 16-20 April , 2018</w:t>
      </w:r>
    </w:p>
    <w:p w14:paraId="6F664DE1" w14:textId="77777777" w:rsidR="00520D73" w:rsidRPr="0072138D" w:rsidRDefault="00520D73" w:rsidP="00BE45AC">
      <w:pPr>
        <w:pStyle w:val="Header"/>
        <w:rPr>
          <w:lang w:val="en-US"/>
        </w:rPr>
      </w:pPr>
    </w:p>
    <w:p w14:paraId="42C693A5" w14:textId="0D0AA295" w:rsidR="00520D73" w:rsidRPr="0003368D" w:rsidRDefault="00DD7CCD" w:rsidP="00DD7CCD">
      <w:pPr>
        <w:pStyle w:val="Header"/>
        <w:jc w:val="left"/>
      </w:pPr>
      <w:r>
        <w:t xml:space="preserve">Source:              </w:t>
      </w:r>
      <w:r w:rsidR="00520D73" w:rsidRPr="0003368D">
        <w:t>Ericsson</w:t>
      </w:r>
    </w:p>
    <w:p w14:paraId="571AF1CA" w14:textId="73B57081" w:rsidR="00520D73" w:rsidRPr="00F64D4A" w:rsidRDefault="00520D73" w:rsidP="00DD7CCD">
      <w:pPr>
        <w:pStyle w:val="Header"/>
        <w:jc w:val="left"/>
      </w:pPr>
      <w:r w:rsidRPr="0003368D">
        <w:t>Title:</w:t>
      </w:r>
      <w:bookmarkStart w:id="1" w:name="Title"/>
      <w:bookmarkEnd w:id="1"/>
      <w:r w:rsidR="00DD7CCD">
        <w:t xml:space="preserve">                   </w:t>
      </w:r>
      <w:bookmarkStart w:id="2" w:name="OLE_LINK7"/>
      <w:r w:rsidR="001C6139">
        <w:t>Procedures related to NoMA</w:t>
      </w:r>
      <w:bookmarkEnd w:id="2"/>
    </w:p>
    <w:p w14:paraId="3FBAABD9" w14:textId="5A31CE5B" w:rsidR="00520D73" w:rsidRPr="0003368D" w:rsidRDefault="00520D73" w:rsidP="00DD7CCD">
      <w:pPr>
        <w:pStyle w:val="Header"/>
        <w:jc w:val="left"/>
      </w:pPr>
      <w:r w:rsidRPr="0003368D">
        <w:t>Agenda Item:</w:t>
      </w:r>
      <w:bookmarkStart w:id="3" w:name="Source"/>
      <w:bookmarkEnd w:id="3"/>
      <w:r w:rsidR="00DD7CCD">
        <w:t xml:space="preserve">     </w:t>
      </w:r>
      <w:r w:rsidR="005D1312">
        <w:t>7.4.3</w:t>
      </w:r>
    </w:p>
    <w:p w14:paraId="775F7906" w14:textId="0435F069" w:rsidR="00520D73" w:rsidRPr="0003368D" w:rsidRDefault="00520D73" w:rsidP="00DD7CCD">
      <w:pPr>
        <w:pStyle w:val="Header"/>
        <w:jc w:val="left"/>
      </w:pPr>
      <w:r w:rsidRPr="0003368D">
        <w:t>Document for:</w:t>
      </w:r>
      <w:bookmarkStart w:id="4" w:name="DocumentFor"/>
      <w:bookmarkEnd w:id="4"/>
      <w:r w:rsidR="00DD7CCD">
        <w:t xml:space="preserve">    </w:t>
      </w:r>
      <w:r>
        <w:t>Discussion</w:t>
      </w:r>
    </w:p>
    <w:p w14:paraId="24B2C92D" w14:textId="77777777" w:rsidR="00520D73" w:rsidRPr="002100D2" w:rsidRDefault="00520D73" w:rsidP="00BE45AC"/>
    <w:p w14:paraId="559CF88A" w14:textId="2C5347CD" w:rsidR="00532222" w:rsidRPr="009C218E" w:rsidRDefault="00634007" w:rsidP="00BE45AC">
      <w:pPr>
        <w:pStyle w:val="Heading1"/>
      </w:pPr>
      <w:bookmarkStart w:id="5" w:name="_Ref502226865"/>
      <w:r w:rsidRPr="009C218E">
        <w:t>Introduction</w:t>
      </w:r>
      <w:bookmarkEnd w:id="5"/>
    </w:p>
    <w:p w14:paraId="05CD0D3A" w14:textId="77777777" w:rsidR="001C6139" w:rsidRDefault="00E00EFA" w:rsidP="00BE45AC">
      <w:pPr>
        <w:pStyle w:val="BodyText"/>
      </w:pPr>
      <w:r>
        <w:t>According to the NoMA WID (</w:t>
      </w:r>
      <w:r w:rsidRPr="00E00EFA">
        <w:t>RP-171043</w:t>
      </w:r>
      <w:r w:rsidR="00BE45AC">
        <w:t xml:space="preserve">), the </w:t>
      </w:r>
      <w:r w:rsidR="001C6139">
        <w:t>S</w:t>
      </w:r>
      <w:r w:rsidR="00BE45AC">
        <w:t>I</w:t>
      </w:r>
      <w:r>
        <w:t xml:space="preserve"> </w:t>
      </w:r>
      <w:r w:rsidR="00BE45AC">
        <w:t xml:space="preserve">contains the following </w:t>
      </w:r>
      <w:r w:rsidR="001C6139">
        <w:t>objective regarding to procedures related to NoMA</w:t>
      </w:r>
      <w:r w:rsidR="00BE45AC">
        <w:t>:</w:t>
      </w:r>
    </w:p>
    <w:p w14:paraId="4279D3FB"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rFonts w:hint="eastAsia"/>
          <w:bCs/>
          <w:lang w:eastAsia="zh-CN"/>
        </w:rPr>
        <w:t>UL transmission detection</w:t>
      </w:r>
    </w:p>
    <w:p w14:paraId="56C6127C"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14:paraId="07BFF1C5"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sidRPr="00E51CBD">
        <w:rPr>
          <w:rFonts w:hint="eastAsia"/>
          <w:bCs/>
          <w:lang w:eastAsia="zh-CN"/>
        </w:rPr>
        <w:t>Link adaptation</w:t>
      </w:r>
      <w:r>
        <w:rPr>
          <w:rFonts w:hint="eastAsia"/>
          <w:bCs/>
          <w:lang w:eastAsia="zh-CN"/>
        </w:rPr>
        <w:t xml:space="preserve"> MA signature allocation/selection</w:t>
      </w:r>
    </w:p>
    <w:p w14:paraId="69AADA6C"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bCs/>
          <w:lang w:eastAsia="zh-CN"/>
        </w:rPr>
        <w:t>Synchronous and asynchronous operation</w:t>
      </w:r>
    </w:p>
    <w:p w14:paraId="5A8A427D" w14:textId="77777777" w:rsidR="001C6139" w:rsidRDefault="001C6139" w:rsidP="001C6139">
      <w:pPr>
        <w:numPr>
          <w:ilvl w:val="0"/>
          <w:numId w:val="32"/>
        </w:numPr>
        <w:overflowPunct w:val="0"/>
        <w:autoSpaceDE w:val="0"/>
        <w:autoSpaceDN w:val="0"/>
        <w:adjustRightInd w:val="0"/>
        <w:spacing w:before="0" w:after="120" w:line="240" w:lineRule="auto"/>
        <w:textAlignment w:val="baseline"/>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14:paraId="12674CCB" w14:textId="2441A7BF" w:rsidR="0065537B" w:rsidRDefault="007D1E11" w:rsidP="00BE45AC">
      <w:pPr>
        <w:pStyle w:val="BodyText"/>
      </w:pPr>
      <w:r w:rsidRPr="009C218E">
        <w:t xml:space="preserve"> </w:t>
      </w:r>
    </w:p>
    <w:p w14:paraId="2D215B58" w14:textId="1623EE68" w:rsidR="00E00EFA" w:rsidRPr="009C218E" w:rsidRDefault="00BE45AC" w:rsidP="00BE45AC">
      <w:pPr>
        <w:pStyle w:val="BodyText"/>
      </w:pPr>
      <w:r>
        <w:t xml:space="preserve">This contribution discusses high-level considerations related to </w:t>
      </w:r>
      <w:r w:rsidR="001C6139">
        <w:t>procedures for NoMA</w:t>
      </w:r>
      <w:r>
        <w:t xml:space="preserve">.  </w:t>
      </w:r>
    </w:p>
    <w:p w14:paraId="17C7860F" w14:textId="47BF9973" w:rsidR="001C52E2" w:rsidRDefault="0041022A" w:rsidP="00BE45AC">
      <w:pPr>
        <w:pStyle w:val="Heading1"/>
      </w:pPr>
      <w:r>
        <w:t>Discussion</w:t>
      </w:r>
    </w:p>
    <w:p w14:paraId="5A555AEF" w14:textId="77777777" w:rsidR="004B6F4C" w:rsidRDefault="004B6F4C" w:rsidP="004B6F4C">
      <w:pPr>
        <w:pStyle w:val="Heading2"/>
      </w:pPr>
      <w:r>
        <w:t>Channel estimation</w:t>
      </w:r>
    </w:p>
    <w:p w14:paraId="178E6ECC" w14:textId="77777777" w:rsidR="004B6F4C" w:rsidRDefault="004B6F4C" w:rsidP="004B6F4C">
      <w:pPr>
        <w:pStyle w:val="BodyText"/>
      </w:pPr>
      <w:r>
        <w:t>In orthogonal multiple access, the DMRS of different UEs are not overlapping and there is no pilot contamination. In fact, one has to estimate the channel only for the RE positions where a particular UE is active. Therefore, we only need to place pilots over the indices where each UE is active. In NOMA, though, multiple UEs are transmitting over the same set of resources hence we need to alleviate the impact of pilot contamination.</w:t>
      </w:r>
    </w:p>
    <w:p w14:paraId="4E3D5822" w14:textId="77777777" w:rsidR="004B6F4C" w:rsidRPr="00834915" w:rsidRDefault="004B6F4C" w:rsidP="004B6F4C">
      <w:pPr>
        <w:pStyle w:val="BodyText"/>
      </w:pPr>
      <w:r>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t xml:space="preserve"> for </w:t>
      </w:r>
      <m:oMath>
        <m:r>
          <w:rPr>
            <w:rFonts w:ascii="Cambria Math" w:hAnsi="Cambria Math"/>
          </w:rPr>
          <m:t>i≠j</m:t>
        </m:r>
      </m:oMath>
      <w:r>
        <w:t>. Orthogonality in frequency can be achieved by:</w:t>
      </w:r>
    </w:p>
    <w:p w14:paraId="226AE9E5" w14:textId="77777777" w:rsidR="004B6F4C" w:rsidRDefault="004B6F4C" w:rsidP="004B6F4C">
      <w:pPr>
        <w:pStyle w:val="BodyText"/>
        <w:keepLines/>
        <w:numPr>
          <w:ilvl w:val="0"/>
          <w:numId w:val="34"/>
        </w:numPr>
        <w:tabs>
          <w:tab w:val="left" w:pos="1247"/>
          <w:tab w:val="left" w:pos="2552"/>
          <w:tab w:val="left" w:pos="3856"/>
          <w:tab w:val="left" w:pos="5216"/>
          <w:tab w:val="left" w:pos="6464"/>
          <w:tab w:val="left" w:pos="7768"/>
          <w:tab w:val="left" w:pos="9072"/>
          <w:tab w:val="left" w:pos="10206"/>
        </w:tabs>
        <w:suppressAutoHyphens/>
        <w:autoSpaceDN w:val="0"/>
        <w:spacing w:before="240" w:after="0" w:line="240" w:lineRule="auto"/>
        <w:textAlignment w:val="baseline"/>
      </w:pPr>
      <w:r>
        <w:t>Orthogonal Cover Codes (OCCs), e.g., based on Walsh-Hadamard codes, which are fundamentally orthogonal sequences.</w:t>
      </w:r>
    </w:p>
    <w:p w14:paraId="7A9BABFD" w14:textId="77777777" w:rsidR="004B6F4C" w:rsidRDefault="004B6F4C" w:rsidP="004B6F4C">
      <w:pPr>
        <w:pStyle w:val="BodyText"/>
        <w:keepLines/>
        <w:numPr>
          <w:ilvl w:val="0"/>
          <w:numId w:val="34"/>
        </w:numPr>
        <w:tabs>
          <w:tab w:val="left" w:pos="1247"/>
          <w:tab w:val="left" w:pos="2552"/>
          <w:tab w:val="left" w:pos="3856"/>
          <w:tab w:val="left" w:pos="5216"/>
          <w:tab w:val="left" w:pos="6464"/>
          <w:tab w:val="left" w:pos="7768"/>
          <w:tab w:val="left" w:pos="9072"/>
          <w:tab w:val="left" w:pos="10206"/>
        </w:tabs>
        <w:suppressAutoHyphens/>
        <w:autoSpaceDN w:val="0"/>
        <w:spacing w:before="240" w:after="0" w:line="240" w:lineRule="auto"/>
        <w:textAlignment w:val="baseline"/>
      </w:pPr>
      <w:r>
        <w:t>Comb-like multiplexing, where UEs are partitioned into groups. The groups occupy different REs, whereas the intra-group UEs use or</w:t>
      </w:r>
      <w:r>
        <w:tab/>
        <w:t>thogonal cover codes.</w:t>
      </w:r>
    </w:p>
    <w:p w14:paraId="4121F2C9" w14:textId="0851B04E" w:rsidR="004B6F4C" w:rsidRDefault="00683B0F" w:rsidP="00E36806">
      <w:pPr>
        <w:pStyle w:val="BodyText"/>
      </w:pPr>
      <w:r>
        <w:t xml:space="preserve">Let us assume the vector channel model </w:t>
      </w:r>
      <m:oMath>
        <m:r>
          <m:rPr>
            <m:sty m:val="b"/>
          </m:rPr>
          <w:rPr>
            <w:rFonts w:ascii="Cambria Math" w:hAnsi="Cambria Math"/>
            <w:lang w:val="sv-SE"/>
          </w:rPr>
          <m:t>r</m:t>
        </m:r>
        <m:r>
          <w:rPr>
            <w:rFonts w:ascii="Cambria Math" w:hAnsi="Cambria Math"/>
            <w:lang w:val="en-US"/>
          </w:rPr>
          <m:t>=</m:t>
        </m:r>
        <m:nary>
          <m:naryPr>
            <m:chr m:val="∑"/>
            <m:limLoc m:val="subSup"/>
            <m:ctrlPr>
              <w:rPr>
                <w:rFonts w:ascii="Cambria Math" w:hAnsi="Cambria Math"/>
                <w:i/>
                <w:iCs/>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iCs/>
                    <w:lang w:val="en-US"/>
                  </w:rPr>
                </m:ctrlPr>
              </m:sSubPr>
              <m:e>
                <m:sSub>
                  <m:sSubPr>
                    <m:ctrlPr>
                      <w:rPr>
                        <w:rFonts w:ascii="Cambria Math" w:hAnsi="Cambria Math"/>
                        <w:i/>
                        <w:iCs/>
                        <w:lang w:val="en-US"/>
                      </w:rPr>
                    </m:ctrlPr>
                  </m:sSubPr>
                  <m:e>
                    <m:r>
                      <m:rPr>
                        <m:sty m:val="b"/>
                      </m:rPr>
                      <w:rPr>
                        <w:rFonts w:ascii="Cambria Math" w:hAnsi="Cambria Math"/>
                        <w:lang w:val="sv-SE"/>
                      </w:rPr>
                      <m:t>S</m:t>
                    </m:r>
                  </m:e>
                  <m:sub>
                    <m:r>
                      <w:rPr>
                        <w:rFonts w:ascii="Cambria Math" w:hAnsi="Cambria Math"/>
                        <w:lang w:val="en-US"/>
                      </w:rPr>
                      <m:t>k</m:t>
                    </m:r>
                  </m:sub>
                </m:sSub>
                <m:sSub>
                  <m:sSubPr>
                    <m:ctrlPr>
                      <w:rPr>
                        <w:rFonts w:ascii="Cambria Math" w:hAnsi="Cambria Math"/>
                        <w:i/>
                        <w:iCs/>
                        <w:lang w:val="en-US"/>
                      </w:rPr>
                    </m:ctrlPr>
                  </m:sSubPr>
                  <m:e>
                    <m:r>
                      <m:rPr>
                        <m:sty m:val="b"/>
                      </m:rPr>
                      <w:rPr>
                        <w:rFonts w:ascii="Cambria Math" w:hAnsi="Cambria Math"/>
                        <w:lang w:val="en-US"/>
                      </w:rPr>
                      <m:t>h</m:t>
                    </m:r>
                  </m:e>
                  <m:sub>
                    <m:r>
                      <w:rPr>
                        <w:rFonts w:ascii="Cambria Math" w:hAnsi="Cambria Math"/>
                        <w:lang w:val="en-US"/>
                      </w:rPr>
                      <m:t>k</m:t>
                    </m:r>
                  </m:sub>
                </m:sSub>
                <m:r>
                  <w:rPr>
                    <w:rFonts w:ascii="Cambria Math" w:hAnsi="Cambria Math"/>
                    <w:lang w:val="sv-SE"/>
                  </w:rPr>
                  <m:t>b</m:t>
                </m:r>
              </m:e>
              <m:sub>
                <m:r>
                  <w:rPr>
                    <w:rFonts w:ascii="Cambria Math" w:hAnsi="Cambria Math"/>
                    <w:lang w:val="en-US"/>
                  </w:rPr>
                  <m:t>k</m:t>
                </m:r>
              </m:sub>
            </m:sSub>
          </m:e>
        </m:nary>
        <m:r>
          <w:rPr>
            <w:rFonts w:ascii="Cambria Math" w:hAnsi="Cambria Math"/>
            <w:lang w:val="en-US"/>
          </w:rPr>
          <m:t>+</m:t>
        </m:r>
        <m:r>
          <m:rPr>
            <m:sty m:val="b"/>
          </m:rPr>
          <w:rPr>
            <w:rFonts w:ascii="Cambria Math" w:hAnsi="Cambria Math"/>
            <w:lang w:val="sv-SE"/>
          </w:rPr>
          <m:t>n</m:t>
        </m:r>
        <m:r>
          <m:rPr>
            <m:sty m:val="bi"/>
          </m:rPr>
          <w:rPr>
            <w:rFonts w:ascii="Cambria Math" w:hAnsi="Cambria Math"/>
            <w:lang w:val="en-US"/>
          </w:rPr>
          <m:t>,</m:t>
        </m:r>
      </m:oMath>
      <w:r w:rsidRPr="004B6F4C">
        <w:rPr>
          <w:lang w:val="en-US"/>
        </w:rPr>
        <w:t xml:space="preserve"> w</w:t>
      </w:r>
      <w:r w:rsidRPr="004B6F4C">
        <w:t xml:space="preserve">here </w:t>
      </w:r>
      <m:oMath>
        <m:sSub>
          <m:sSubPr>
            <m:ctrlPr>
              <w:rPr>
                <w:rFonts w:ascii="Cambria Math" w:hAnsi="Cambria Math"/>
                <w:i/>
                <w:iCs/>
                <w:lang w:val="en-US"/>
              </w:rPr>
            </m:ctrlPr>
          </m:sSubPr>
          <m:e>
            <m:r>
              <m:rPr>
                <m:sty m:val="bi"/>
              </m:rPr>
              <w:rPr>
                <w:rFonts w:ascii="Cambria Math" w:hAnsi="Cambria Math"/>
              </w:rPr>
              <m:t>S</m:t>
            </m:r>
          </m:e>
          <m:sub>
            <m:r>
              <m:rPr>
                <m:sty m:val="p"/>
              </m:rPr>
              <w:rPr>
                <w:rFonts w:ascii="Cambria Math" w:hAnsi="Cambria Math"/>
              </w:rPr>
              <m:t>k</m:t>
            </m:r>
          </m:sub>
        </m:sSub>
      </m:oMath>
      <w:r w:rsidRPr="004B6F4C">
        <w:t xml:space="preserve"> is a diagonal matrix with the elements of the </w:t>
      </w:r>
      <w:r>
        <w:t xml:space="preserve">signature </w:t>
      </w:r>
      <w:r w:rsidRPr="004B6F4C">
        <w:t xml:space="preserve">vector </w:t>
      </w:r>
      <m:oMath>
        <m:sSub>
          <m:sSubPr>
            <m:ctrlPr>
              <w:rPr>
                <w:rFonts w:ascii="Cambria Math" w:hAnsi="Cambria Math"/>
                <w:i/>
                <w:iCs/>
                <w:lang w:val="en-US"/>
              </w:rPr>
            </m:ctrlPr>
          </m:sSubPr>
          <m:e>
            <m:r>
              <m:rPr>
                <m:sty m:val="b"/>
              </m:rPr>
              <w:rPr>
                <w:rFonts w:ascii="Cambria Math" w:hAnsi="Cambria Math"/>
              </w:rPr>
              <m:t>s</m:t>
            </m:r>
          </m:e>
          <m:sub>
            <m:r>
              <w:rPr>
                <w:rFonts w:ascii="Cambria Math" w:hAnsi="Cambria Math"/>
              </w:rPr>
              <m:t>k</m:t>
            </m:r>
          </m:sub>
        </m:sSub>
      </m:oMath>
      <w:r w:rsidRPr="004B6F4C">
        <w:t xml:space="preserve"> on its main diagonal</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is the channel to the k’th user</w:t>
      </w:r>
      <w:r w:rsidR="007E542E">
        <w:t xml:space="preserve">. </w:t>
      </w:r>
      <w:r w:rsidR="004B6F4C">
        <w:t>The optim</w:t>
      </w:r>
      <w:r w:rsidR="004B6F4C" w:rsidRPr="00713241">
        <w:t>al,</w:t>
      </w:r>
      <w:r w:rsidR="004B6F4C">
        <w:t xml:space="preserve">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rsidR="004B6F4C">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sidR="004B6F4C">
        <w:rPr>
          <w:b/>
        </w:rPr>
        <w:t xml:space="preserve">, </w:t>
      </w:r>
      <w:r w:rsidR="004B6F4C">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rsidR="004B6F4C">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rsidR="004B6F4C">
        <w:t xml:space="preserve">. </w:t>
      </w:r>
      <w:r w:rsidR="007E542E">
        <w:t>It can be shown that the MMSE channel estimator is as follows</w:t>
      </w:r>
    </w:p>
    <w:p w14:paraId="4E6BD5D2" w14:textId="1B9755E7" w:rsidR="004B6F4C" w:rsidRDefault="0061015C" w:rsidP="00E3680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76DCA619" w14:textId="5A3DAEF9" w:rsidR="004B6F4C" w:rsidRPr="00B54E77" w:rsidRDefault="004B6F4C" w:rsidP="00691FA2">
      <w:pPr>
        <w:pStyle w:val="BodyText"/>
        <w:rPr>
          <w:strike/>
          <w:color w:val="FF0000"/>
        </w:rPr>
      </w:pPr>
      <w:r>
        <w:lastRenderedPageBreak/>
        <w:t>Once the channel estimates are available, the remaining positions of each UE’s channel can be found via interpolation. Due to channel dispersion, this assumption does not hold in practise and there will always be residual interference.</w:t>
      </w:r>
      <w:r w:rsidR="007E542E">
        <w:t xml:space="preserve"> </w:t>
      </w:r>
      <w:r w:rsidR="00691FA2">
        <w:t>I</w:t>
      </w:r>
      <w:r>
        <w:t xml:space="preserve">nter-UE interference </w:t>
      </w:r>
      <w:r w:rsidR="00691FA2">
        <w:t>can be handled by</w:t>
      </w:r>
      <w:r>
        <w:t xml:space="preserve"> a cyclic shift on 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t xml:space="preserve"> whose elements are 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t>. Note here that, for time domain CE, the base DMRS sequence is the same for all overlapping UEs; one such example are Z</w:t>
      </w:r>
      <w:r w:rsidR="007B5B1E">
        <w:t>a</w:t>
      </w:r>
      <w:r>
        <w:t xml:space="preserve">doff-Chu sequences </w:t>
      </w:r>
      <w:r>
        <w:fldChar w:fldCharType="begin"/>
      </w:r>
      <w:r>
        <w:instrText xml:space="preserve"> REF _Ref477778776 \r \h </w:instrText>
      </w:r>
      <w:r>
        <w:fldChar w:fldCharType="separate"/>
      </w:r>
      <w:r>
        <w:t>[17]</w:t>
      </w:r>
      <w:r>
        <w:fldChar w:fldCharType="end"/>
      </w:r>
      <w:r>
        <w:t xml:space="preserve">, which are constant-modulus and possess good autocorrelation properties. </w:t>
      </w:r>
    </w:p>
    <w:p w14:paraId="015E5C71" w14:textId="4B53C003" w:rsidR="00691FA2" w:rsidRPr="008D0415" w:rsidRDefault="00691FA2" w:rsidP="00691FA2">
      <w:pPr>
        <w:pStyle w:val="Observation"/>
        <w:numPr>
          <w:ilvl w:val="0"/>
          <w:numId w:val="21"/>
        </w:numPr>
        <w:ind w:left="1701" w:hanging="1701"/>
        <w:jc w:val="left"/>
      </w:pPr>
      <w:r>
        <w:t>Channel estimation for colliding UEs can be done using DMRS sequences with different cyclic shifts</w:t>
      </w:r>
    </w:p>
    <w:p w14:paraId="1C6E9BA2" w14:textId="77777777" w:rsidR="004B6F4C" w:rsidRPr="00691FA2" w:rsidRDefault="004B6F4C" w:rsidP="004B6F4C">
      <w:pPr>
        <w:pStyle w:val="BodyText"/>
        <w:rPr>
          <w:lang w:val="en-US"/>
        </w:rPr>
      </w:pPr>
    </w:p>
    <w:p w14:paraId="35B6461F" w14:textId="72A2B29C" w:rsidR="00BE5128" w:rsidRDefault="00BE5128" w:rsidP="00BE5128">
      <w:pPr>
        <w:pStyle w:val="Heading2"/>
      </w:pPr>
      <w:r>
        <w:t>UE identification</w:t>
      </w:r>
    </w:p>
    <w:p w14:paraId="5AD49354" w14:textId="3F7320FE" w:rsidR="002855B8" w:rsidRDefault="002855B8" w:rsidP="002855B8">
      <w:r>
        <w:t xml:space="preserve">When multiple UEs are allocated on the same time/frequency resources then the gNB does not have a priori knowledge of the UEs’ ID; when the gNB detects a transmission over the shared resources, it does not know which of the assigned UE transmitted. Therefore, it is important to establish mechanisms for acquiring the UE ID, which is especially relevant for </w:t>
      </w:r>
      <w:r w:rsidR="007425D1">
        <w:t>NoMA where resources are shared</w:t>
      </w:r>
      <w:r>
        <w:t>. Moreover, the identification mechanism should be at least as reliable as the payload transmission. The reason is that a passed CRC-check without a UE-ID, tied to the payload, will be lost effort since the gNB cannot acknowledge the packet reception; it will instead have to wait for a new transmission. In the opposite scenario, where the UE-ID is detected but the payload decoding fails, at least we can exploit the acquired UE-ID in order to take remedy actions, such as retransmissions</w:t>
      </w:r>
      <w:r w:rsidR="004B6F4C">
        <w:t xml:space="preserve"> on orthogonal resources</w:t>
      </w:r>
      <w:r>
        <w:t xml:space="preserve">.  </w:t>
      </w:r>
    </w:p>
    <w:p w14:paraId="2824EF8F" w14:textId="590F2315" w:rsidR="002855B8" w:rsidRDefault="002855B8" w:rsidP="002855B8">
      <w:r>
        <w:t xml:space="preserve">It </w:t>
      </w:r>
      <w:r w:rsidR="007425D1">
        <w:t xml:space="preserve">has been </w:t>
      </w:r>
      <w:r>
        <w:t>proposed, to have the UE-ID connected to the DMRS sequence. This has the added benefit of saving overhead and at the same time it allows for a reasonable number of UEs to be multiplexed over the same resources. In practical CP-OFDM systems, UE-multiplexing can be achieved by assigning different cyclic shifts</w:t>
      </w:r>
      <w:r w:rsidRPr="00F63322">
        <w:t xml:space="preserve"> </w:t>
      </w:r>
      <w:r>
        <w:t>of the same base sequence, e.g., a CAZAC sequence, to the UEs.</w:t>
      </w:r>
    </w:p>
    <w:p w14:paraId="2C0705F6" w14:textId="5EDD1D5E" w:rsidR="002855B8" w:rsidRDefault="002855B8" w:rsidP="002855B8">
      <w:r>
        <w:t xml:space="preserve">In this </w:t>
      </w:r>
      <w:r w:rsidR="007425D1">
        <w:t>section</w:t>
      </w:r>
      <w:r>
        <w:t>, we conduct some simulations based on the assum</w:t>
      </w:r>
      <w:r w:rsidR="007425D1">
        <w:t>ptions in Table 1</w:t>
      </w:r>
      <w:r>
        <w:t>. The target metric is the UE miss-detection probability Pr(UE miss); this quantity is computed by fixing the probability of false alarm, which in turn gives us the detection threshold. The set of assumptions that were used for the simulations are given below. Note that the UE speed should not affect the detection, since the latter is carried out for a single symbol hence channel variations in time are not an issue.</w:t>
      </w:r>
    </w:p>
    <w:p w14:paraId="247C6D02" w14:textId="77777777" w:rsidR="002855B8" w:rsidRPr="00F936C3" w:rsidRDefault="002855B8" w:rsidP="002855B8">
      <w:pPr>
        <w:jc w:val="center"/>
      </w:pPr>
      <w:r w:rsidRPr="00F936C3">
        <w:t xml:space="preserve">Table 1. </w:t>
      </w:r>
      <w:r>
        <w:t>Link-level e</w:t>
      </w:r>
      <w:r w:rsidRPr="00F936C3">
        <w:t>valuation assumptions for DMRS for data channel (4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2855B8" w:rsidRPr="00F936C3" w14:paraId="697E9307" w14:textId="77777777" w:rsidTr="00A62BF3">
        <w:trPr>
          <w:trHeight w:val="20"/>
          <w:jc w:val="center"/>
        </w:trPr>
        <w:tc>
          <w:tcPr>
            <w:tcW w:w="2728" w:type="dxa"/>
            <w:shd w:val="clear" w:color="auto" w:fill="EEECE1"/>
            <w:tcMar>
              <w:top w:w="15" w:type="dxa"/>
              <w:left w:w="107" w:type="dxa"/>
              <w:bottom w:w="0" w:type="dxa"/>
              <w:right w:w="107" w:type="dxa"/>
            </w:tcMar>
            <w:vAlign w:val="center"/>
            <w:hideMark/>
          </w:tcPr>
          <w:p w14:paraId="546EB9DF" w14:textId="77777777" w:rsidR="002855B8" w:rsidRPr="00F936C3" w:rsidRDefault="002855B8" w:rsidP="00A62BF3">
            <w:pPr>
              <w:rPr>
                <w:sz w:val="18"/>
                <w:szCs w:val="18"/>
              </w:rPr>
            </w:pPr>
            <w:r w:rsidRPr="00F936C3">
              <w:rPr>
                <w:sz w:val="18"/>
                <w:szCs w:val="18"/>
              </w:rPr>
              <w:t>Assumptions</w:t>
            </w:r>
          </w:p>
        </w:tc>
        <w:tc>
          <w:tcPr>
            <w:tcW w:w="6344" w:type="dxa"/>
            <w:shd w:val="clear" w:color="auto" w:fill="EEECE1"/>
            <w:tcMar>
              <w:top w:w="15" w:type="dxa"/>
              <w:left w:w="107" w:type="dxa"/>
              <w:bottom w:w="0" w:type="dxa"/>
              <w:right w:w="107" w:type="dxa"/>
            </w:tcMar>
            <w:vAlign w:val="center"/>
            <w:hideMark/>
          </w:tcPr>
          <w:p w14:paraId="36DD792D" w14:textId="77777777" w:rsidR="002855B8" w:rsidRPr="00F936C3" w:rsidRDefault="002855B8" w:rsidP="00A62BF3">
            <w:pPr>
              <w:rPr>
                <w:sz w:val="18"/>
                <w:szCs w:val="18"/>
              </w:rPr>
            </w:pPr>
            <w:r w:rsidRPr="00F936C3">
              <w:rPr>
                <w:bCs/>
                <w:sz w:val="18"/>
                <w:szCs w:val="18"/>
              </w:rPr>
              <w:t>Value</w:t>
            </w:r>
          </w:p>
        </w:tc>
      </w:tr>
      <w:tr w:rsidR="002855B8" w:rsidRPr="00F936C3" w14:paraId="63C3ED5A"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37DB7206" w14:textId="77777777" w:rsidR="002855B8" w:rsidRPr="00F936C3" w:rsidRDefault="002855B8" w:rsidP="00A62BF3">
            <w:pPr>
              <w:rPr>
                <w:sz w:val="18"/>
                <w:szCs w:val="18"/>
              </w:rPr>
            </w:pPr>
            <w:r>
              <w:rPr>
                <w:sz w:val="18"/>
                <w:szCs w:val="18"/>
              </w:rPr>
              <w:t>Waveform</w:t>
            </w:r>
          </w:p>
        </w:tc>
        <w:tc>
          <w:tcPr>
            <w:tcW w:w="6344" w:type="dxa"/>
            <w:shd w:val="clear" w:color="auto" w:fill="auto"/>
            <w:tcMar>
              <w:top w:w="15" w:type="dxa"/>
              <w:left w:w="107" w:type="dxa"/>
              <w:bottom w:w="0" w:type="dxa"/>
              <w:right w:w="107" w:type="dxa"/>
            </w:tcMar>
            <w:vAlign w:val="center"/>
          </w:tcPr>
          <w:p w14:paraId="78B21B08" w14:textId="77777777" w:rsidR="002855B8" w:rsidRPr="00F936C3" w:rsidRDefault="002855B8" w:rsidP="00A62BF3">
            <w:pPr>
              <w:rPr>
                <w:sz w:val="18"/>
                <w:szCs w:val="18"/>
              </w:rPr>
            </w:pPr>
            <w:r>
              <w:rPr>
                <w:sz w:val="18"/>
                <w:szCs w:val="18"/>
              </w:rPr>
              <w:t>OFDM</w:t>
            </w:r>
          </w:p>
        </w:tc>
      </w:tr>
      <w:tr w:rsidR="002855B8" w:rsidRPr="00F936C3" w14:paraId="42B531E9" w14:textId="77777777" w:rsidTr="00A62BF3">
        <w:trPr>
          <w:trHeight w:val="20"/>
          <w:jc w:val="center"/>
        </w:trPr>
        <w:tc>
          <w:tcPr>
            <w:tcW w:w="2728" w:type="dxa"/>
            <w:shd w:val="clear" w:color="auto" w:fill="auto"/>
            <w:tcMar>
              <w:top w:w="15" w:type="dxa"/>
              <w:left w:w="107" w:type="dxa"/>
              <w:bottom w:w="0" w:type="dxa"/>
              <w:right w:w="107" w:type="dxa"/>
            </w:tcMar>
            <w:vAlign w:val="center"/>
            <w:hideMark/>
          </w:tcPr>
          <w:p w14:paraId="6E7581D0" w14:textId="77777777" w:rsidR="002855B8" w:rsidRPr="00F936C3" w:rsidRDefault="002855B8" w:rsidP="00A62BF3">
            <w:pPr>
              <w:rPr>
                <w:sz w:val="18"/>
                <w:szCs w:val="18"/>
              </w:rPr>
            </w:pPr>
            <w:r w:rsidRPr="00F936C3">
              <w:rPr>
                <w:sz w:val="18"/>
                <w:szCs w:val="18"/>
              </w:rPr>
              <w:t>Carrier frequency</w:t>
            </w:r>
          </w:p>
        </w:tc>
        <w:tc>
          <w:tcPr>
            <w:tcW w:w="6344" w:type="dxa"/>
            <w:shd w:val="clear" w:color="auto" w:fill="auto"/>
            <w:tcMar>
              <w:top w:w="15" w:type="dxa"/>
              <w:left w:w="107" w:type="dxa"/>
              <w:bottom w:w="0" w:type="dxa"/>
              <w:right w:w="107" w:type="dxa"/>
            </w:tcMar>
            <w:vAlign w:val="center"/>
            <w:hideMark/>
          </w:tcPr>
          <w:p w14:paraId="2D020CE3" w14:textId="77777777" w:rsidR="002855B8" w:rsidRPr="00F936C3" w:rsidRDefault="002855B8" w:rsidP="00A62BF3">
            <w:pPr>
              <w:rPr>
                <w:sz w:val="18"/>
                <w:szCs w:val="18"/>
              </w:rPr>
            </w:pPr>
            <w:r w:rsidRPr="00F936C3">
              <w:rPr>
                <w:sz w:val="18"/>
                <w:szCs w:val="18"/>
              </w:rPr>
              <w:t>4GHz</w:t>
            </w:r>
          </w:p>
        </w:tc>
      </w:tr>
      <w:tr w:rsidR="002855B8" w:rsidRPr="00F936C3" w14:paraId="7E2B3869"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3C48A27E" w14:textId="77777777" w:rsidR="002855B8" w:rsidRPr="00F936C3" w:rsidRDefault="002855B8" w:rsidP="00A62BF3">
            <w:pPr>
              <w:rPr>
                <w:sz w:val="18"/>
                <w:szCs w:val="18"/>
              </w:rPr>
            </w:pPr>
            <w:r w:rsidRPr="00F936C3">
              <w:rPr>
                <w:sz w:val="18"/>
                <w:szCs w:val="18"/>
              </w:rPr>
              <w:t>Subcarrier spacing</w:t>
            </w:r>
          </w:p>
        </w:tc>
        <w:tc>
          <w:tcPr>
            <w:tcW w:w="6344" w:type="dxa"/>
            <w:shd w:val="clear" w:color="auto" w:fill="auto"/>
            <w:tcMar>
              <w:top w:w="15" w:type="dxa"/>
              <w:left w:w="107" w:type="dxa"/>
              <w:bottom w:w="0" w:type="dxa"/>
              <w:right w:w="107" w:type="dxa"/>
            </w:tcMar>
            <w:vAlign w:val="center"/>
          </w:tcPr>
          <w:p w14:paraId="498E965D" w14:textId="77777777" w:rsidR="002855B8" w:rsidRPr="00F936C3" w:rsidRDefault="002855B8" w:rsidP="00A62BF3">
            <w:pPr>
              <w:widowControl w:val="0"/>
              <w:rPr>
                <w:sz w:val="18"/>
                <w:szCs w:val="18"/>
              </w:rPr>
            </w:pPr>
            <w:r w:rsidRPr="00F936C3">
              <w:rPr>
                <w:sz w:val="18"/>
                <w:szCs w:val="18"/>
              </w:rPr>
              <w:t>15kHz</w:t>
            </w:r>
          </w:p>
        </w:tc>
      </w:tr>
      <w:tr w:rsidR="002855B8" w:rsidRPr="00F936C3" w14:paraId="0859E870"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5B20110C" w14:textId="77777777" w:rsidR="002855B8" w:rsidRPr="00F936C3" w:rsidRDefault="002855B8" w:rsidP="00A62BF3">
            <w:pPr>
              <w:rPr>
                <w:sz w:val="18"/>
                <w:szCs w:val="18"/>
              </w:rPr>
            </w:pPr>
            <w:r>
              <w:rPr>
                <w:sz w:val="18"/>
                <w:szCs w:val="18"/>
              </w:rPr>
              <w:t>Number of PRBs</w:t>
            </w:r>
          </w:p>
        </w:tc>
        <w:tc>
          <w:tcPr>
            <w:tcW w:w="6344" w:type="dxa"/>
            <w:shd w:val="clear" w:color="auto" w:fill="auto"/>
            <w:tcMar>
              <w:top w:w="15" w:type="dxa"/>
              <w:left w:w="107" w:type="dxa"/>
              <w:bottom w:w="0" w:type="dxa"/>
              <w:right w:w="107" w:type="dxa"/>
            </w:tcMar>
            <w:vAlign w:val="center"/>
          </w:tcPr>
          <w:p w14:paraId="783AF1C4" w14:textId="77777777" w:rsidR="002855B8" w:rsidRPr="00F936C3" w:rsidRDefault="002855B8" w:rsidP="00A62BF3">
            <w:pPr>
              <w:widowControl w:val="0"/>
              <w:rPr>
                <w:sz w:val="18"/>
                <w:szCs w:val="18"/>
              </w:rPr>
            </w:pPr>
            <w:r>
              <w:rPr>
                <w:sz w:val="18"/>
                <w:szCs w:val="18"/>
              </w:rPr>
              <w:t>2/4/6/8</w:t>
            </w:r>
            <w:r w:rsidRPr="00F936C3">
              <w:rPr>
                <w:sz w:val="18"/>
                <w:szCs w:val="18"/>
              </w:rPr>
              <w:t xml:space="preserve"> </w:t>
            </w:r>
          </w:p>
        </w:tc>
      </w:tr>
      <w:tr w:rsidR="002855B8" w:rsidRPr="00F936C3" w14:paraId="281852D1"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7C36CA74" w14:textId="77777777" w:rsidR="002855B8" w:rsidRPr="00F936C3" w:rsidRDefault="002855B8" w:rsidP="00A62BF3">
            <w:pPr>
              <w:rPr>
                <w:sz w:val="18"/>
                <w:szCs w:val="18"/>
              </w:rPr>
            </w:pPr>
            <w:r w:rsidRPr="00F936C3">
              <w:rPr>
                <w:sz w:val="18"/>
                <w:szCs w:val="18"/>
              </w:rPr>
              <w:t>Channel estimation</w:t>
            </w:r>
          </w:p>
        </w:tc>
        <w:tc>
          <w:tcPr>
            <w:tcW w:w="6344" w:type="dxa"/>
            <w:shd w:val="clear" w:color="auto" w:fill="auto"/>
            <w:tcMar>
              <w:top w:w="15" w:type="dxa"/>
              <w:left w:w="107" w:type="dxa"/>
              <w:bottom w:w="0" w:type="dxa"/>
              <w:right w:w="107" w:type="dxa"/>
            </w:tcMar>
            <w:vAlign w:val="center"/>
          </w:tcPr>
          <w:p w14:paraId="5D01C611" w14:textId="77777777" w:rsidR="002855B8" w:rsidRPr="00F936C3" w:rsidRDefault="002855B8" w:rsidP="00A62BF3">
            <w:pPr>
              <w:widowControl w:val="0"/>
              <w:rPr>
                <w:sz w:val="18"/>
                <w:szCs w:val="18"/>
              </w:rPr>
            </w:pPr>
            <w:r>
              <w:rPr>
                <w:sz w:val="18"/>
                <w:szCs w:val="18"/>
              </w:rPr>
              <w:t>Practical</w:t>
            </w:r>
            <w:r w:rsidRPr="00F936C3">
              <w:rPr>
                <w:sz w:val="18"/>
                <w:szCs w:val="18"/>
              </w:rPr>
              <w:t xml:space="preserve"> estimation </w:t>
            </w:r>
          </w:p>
        </w:tc>
      </w:tr>
      <w:tr w:rsidR="002855B8" w:rsidRPr="00BB3F21" w14:paraId="5AD0FC6F" w14:textId="77777777" w:rsidTr="00A62BF3">
        <w:trPr>
          <w:trHeight w:val="340"/>
          <w:jc w:val="center"/>
        </w:trPr>
        <w:tc>
          <w:tcPr>
            <w:tcW w:w="2728" w:type="dxa"/>
            <w:shd w:val="clear" w:color="auto" w:fill="auto"/>
            <w:tcMar>
              <w:top w:w="15" w:type="dxa"/>
              <w:left w:w="107" w:type="dxa"/>
              <w:bottom w:w="0" w:type="dxa"/>
              <w:right w:w="107" w:type="dxa"/>
            </w:tcMar>
            <w:vAlign w:val="center"/>
          </w:tcPr>
          <w:p w14:paraId="482DF132" w14:textId="77777777" w:rsidR="002855B8" w:rsidRPr="00F936C3" w:rsidRDefault="002855B8" w:rsidP="00A62BF3">
            <w:pPr>
              <w:rPr>
                <w:sz w:val="18"/>
                <w:szCs w:val="18"/>
              </w:rPr>
            </w:pPr>
            <w:r w:rsidRPr="00F936C3">
              <w:rPr>
                <w:rFonts w:hint="eastAsia"/>
                <w:sz w:val="18"/>
                <w:szCs w:val="18"/>
              </w:rPr>
              <w:t>UE speed</w:t>
            </w:r>
          </w:p>
        </w:tc>
        <w:tc>
          <w:tcPr>
            <w:tcW w:w="6344" w:type="dxa"/>
            <w:shd w:val="clear" w:color="auto" w:fill="auto"/>
            <w:tcMar>
              <w:top w:w="15" w:type="dxa"/>
              <w:left w:w="107" w:type="dxa"/>
              <w:bottom w:w="0" w:type="dxa"/>
              <w:right w:w="107" w:type="dxa"/>
            </w:tcMar>
            <w:vAlign w:val="center"/>
          </w:tcPr>
          <w:p w14:paraId="258AD9C4" w14:textId="77777777" w:rsidR="002855B8" w:rsidRPr="007A1A0F" w:rsidRDefault="002855B8" w:rsidP="00A62BF3">
            <w:pPr>
              <w:widowControl w:val="0"/>
              <w:rPr>
                <w:sz w:val="18"/>
                <w:szCs w:val="18"/>
                <w:lang w:val="sv-SE"/>
              </w:rPr>
            </w:pPr>
            <w:r>
              <w:rPr>
                <w:sz w:val="18"/>
                <w:szCs w:val="18"/>
                <w:lang w:val="sv-SE"/>
              </w:rPr>
              <w:t>3 km/h</w:t>
            </w:r>
          </w:p>
        </w:tc>
      </w:tr>
      <w:tr w:rsidR="002855B8" w:rsidRPr="00F936C3" w14:paraId="7F3E7A29" w14:textId="77777777" w:rsidTr="00A62BF3">
        <w:trPr>
          <w:trHeight w:val="20"/>
          <w:jc w:val="center"/>
        </w:trPr>
        <w:tc>
          <w:tcPr>
            <w:tcW w:w="2728" w:type="dxa"/>
            <w:shd w:val="clear" w:color="auto" w:fill="auto"/>
            <w:tcMar>
              <w:top w:w="15" w:type="dxa"/>
              <w:left w:w="107" w:type="dxa"/>
              <w:bottom w:w="0" w:type="dxa"/>
              <w:right w:w="107" w:type="dxa"/>
            </w:tcMar>
            <w:vAlign w:val="center"/>
          </w:tcPr>
          <w:p w14:paraId="1E710C10" w14:textId="77777777" w:rsidR="002855B8" w:rsidRPr="00F936C3" w:rsidRDefault="002855B8" w:rsidP="00A62BF3">
            <w:pPr>
              <w:rPr>
                <w:sz w:val="18"/>
                <w:szCs w:val="18"/>
              </w:rPr>
            </w:pPr>
            <w:r w:rsidRPr="00F936C3">
              <w:rPr>
                <w:sz w:val="18"/>
                <w:szCs w:val="18"/>
              </w:rPr>
              <w:t>Channel model</w:t>
            </w:r>
          </w:p>
        </w:tc>
        <w:tc>
          <w:tcPr>
            <w:tcW w:w="6344" w:type="dxa"/>
            <w:shd w:val="clear" w:color="auto" w:fill="auto"/>
            <w:tcMar>
              <w:top w:w="15" w:type="dxa"/>
              <w:left w:w="107" w:type="dxa"/>
              <w:bottom w:w="0" w:type="dxa"/>
              <w:right w:w="107" w:type="dxa"/>
            </w:tcMar>
            <w:vAlign w:val="center"/>
          </w:tcPr>
          <w:p w14:paraId="71E87E34" w14:textId="77777777" w:rsidR="002855B8" w:rsidRPr="00F936C3" w:rsidRDefault="002855B8" w:rsidP="00A62BF3">
            <w:pPr>
              <w:widowControl w:val="0"/>
              <w:rPr>
                <w:sz w:val="18"/>
                <w:szCs w:val="18"/>
              </w:rPr>
            </w:pPr>
            <w:r w:rsidRPr="00994379">
              <w:rPr>
                <w:rFonts w:hint="eastAsia"/>
                <w:sz w:val="18"/>
                <w:szCs w:val="18"/>
              </w:rPr>
              <w:t>TDL</w:t>
            </w:r>
            <w:r>
              <w:rPr>
                <w:sz w:val="18"/>
                <w:szCs w:val="18"/>
              </w:rPr>
              <w:t>c</w:t>
            </w:r>
          </w:p>
        </w:tc>
      </w:tr>
      <w:tr w:rsidR="002855B8" w:rsidRPr="00F936C3" w14:paraId="679A3CC8" w14:textId="77777777" w:rsidTr="00A62BF3">
        <w:trPr>
          <w:trHeight w:val="20"/>
          <w:jc w:val="center"/>
        </w:trPr>
        <w:tc>
          <w:tcPr>
            <w:tcW w:w="2728" w:type="dxa"/>
            <w:shd w:val="clear" w:color="auto" w:fill="auto"/>
            <w:tcMar>
              <w:top w:w="15" w:type="dxa"/>
              <w:left w:w="107" w:type="dxa"/>
              <w:bottom w:w="0" w:type="dxa"/>
              <w:right w:w="107" w:type="dxa"/>
            </w:tcMar>
            <w:vAlign w:val="center"/>
            <w:hideMark/>
          </w:tcPr>
          <w:p w14:paraId="1AE17F0B" w14:textId="77777777" w:rsidR="002855B8" w:rsidRPr="00F936C3" w:rsidRDefault="002855B8" w:rsidP="00A62BF3">
            <w:pPr>
              <w:rPr>
                <w:sz w:val="18"/>
                <w:szCs w:val="18"/>
              </w:rPr>
            </w:pPr>
            <w:r w:rsidRPr="00F936C3">
              <w:rPr>
                <w:sz w:val="18"/>
                <w:szCs w:val="18"/>
              </w:rPr>
              <w:t xml:space="preserve">UE antenna </w:t>
            </w:r>
            <w:r w:rsidRPr="00F936C3">
              <w:rPr>
                <w:rFonts w:hint="eastAsia"/>
                <w:sz w:val="18"/>
                <w:szCs w:val="18"/>
              </w:rPr>
              <w:t>configuration</w:t>
            </w:r>
          </w:p>
        </w:tc>
        <w:tc>
          <w:tcPr>
            <w:tcW w:w="6344" w:type="dxa"/>
            <w:shd w:val="clear" w:color="auto" w:fill="auto"/>
            <w:tcMar>
              <w:top w:w="15" w:type="dxa"/>
              <w:left w:w="107" w:type="dxa"/>
              <w:bottom w:w="0" w:type="dxa"/>
              <w:right w:w="107" w:type="dxa"/>
            </w:tcMar>
            <w:vAlign w:val="center"/>
            <w:hideMark/>
          </w:tcPr>
          <w:p w14:paraId="57D37E1E" w14:textId="77777777" w:rsidR="002855B8" w:rsidRPr="00F936C3" w:rsidRDefault="002855B8" w:rsidP="00A62BF3">
            <w:pPr>
              <w:widowControl w:val="0"/>
              <w:rPr>
                <w:sz w:val="18"/>
                <w:szCs w:val="18"/>
              </w:rPr>
            </w:pPr>
            <w:r>
              <w:rPr>
                <w:sz w:val="18"/>
                <w:szCs w:val="18"/>
              </w:rPr>
              <w:t>2/4/8 RX antennas</w:t>
            </w:r>
          </w:p>
        </w:tc>
      </w:tr>
    </w:tbl>
    <w:p w14:paraId="623DE614" w14:textId="71AD2080" w:rsidR="007425D1" w:rsidRPr="00B51D0A" w:rsidRDefault="007425D1" w:rsidP="00D3689C">
      <w:pPr>
        <w:tabs>
          <w:tab w:val="num" w:pos="1440"/>
          <w:tab w:val="num" w:pos="2160"/>
        </w:tabs>
        <w:rPr>
          <w:b/>
        </w:rPr>
      </w:pPr>
      <w:r>
        <w:t xml:space="preserve">We can see in </w:t>
      </w:r>
      <w:r>
        <w:fldChar w:fldCharType="begin"/>
      </w:r>
      <w:r>
        <w:instrText xml:space="preserve"> REF _Ref489518404 \h </w:instrText>
      </w:r>
      <w:r>
        <w:fldChar w:fldCharType="separate"/>
      </w:r>
      <w:r>
        <w:t xml:space="preserve">Figure </w:t>
      </w:r>
      <w:r>
        <w:rPr>
          <w:noProof/>
        </w:rPr>
        <w:t>1</w:t>
      </w:r>
      <w:r>
        <w:fldChar w:fldCharType="end"/>
      </w:r>
      <w:r>
        <w:t xml:space="preserve">, that detection performance is improving with increasing number of PRBs. The reason in that the longer the sequences, the larger its distance from each other as well as from the “all-zero” sequence, i.e., noise when nothing is sent. In particular, we observe a gain around 1.5dB, when moving from 4PRBs to 6PRBs, and an extra gain in the range [0.5,1]dB when the number of PRBs further increasing from 6 to 8. Of course, the price for that gain is that we are occupying more frequency resources. In </w:t>
      </w:r>
      <w:r>
        <w:fldChar w:fldCharType="begin"/>
      </w:r>
      <w:r>
        <w:instrText xml:space="preserve"> REF _Ref489518407 \h </w:instrText>
      </w:r>
      <w:r>
        <w:fldChar w:fldCharType="separate"/>
      </w:r>
      <w:r>
        <w:t xml:space="preserve">Figure </w:t>
      </w:r>
      <w:r>
        <w:rPr>
          <w:noProof/>
        </w:rPr>
        <w:t>2</w:t>
      </w:r>
      <w:r>
        <w:fldChar w:fldCharType="end"/>
      </w:r>
      <w:r>
        <w:t xml:space="preserve">, we see that the number of UEs does not essentially have an impact on the probability of miss-detection, which implies that we can support 6 UEs without sacrificing the detection performance. </w:t>
      </w:r>
    </w:p>
    <w:p w14:paraId="52D7166C" w14:textId="77777777" w:rsidR="002855B8" w:rsidRDefault="002855B8" w:rsidP="002855B8">
      <w:pPr>
        <w:keepNext/>
        <w:jc w:val="center"/>
      </w:pPr>
      <w:r w:rsidRPr="00047F4D">
        <w:rPr>
          <w:noProof/>
        </w:rPr>
        <w:lastRenderedPageBreak/>
        <w:drawing>
          <wp:inline distT="0" distB="0" distL="0" distR="0" wp14:anchorId="7FB38954" wp14:editId="25A85820">
            <wp:extent cx="4131868" cy="3381555"/>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8"/>
                    <a:srcRect l="4814" t="5964" r="8185" b="1841"/>
                    <a:stretch/>
                  </pic:blipFill>
                  <pic:spPr>
                    <a:xfrm>
                      <a:off x="0" y="0"/>
                      <a:ext cx="4148174" cy="3394900"/>
                    </a:xfrm>
                    <a:prstGeom prst="rect">
                      <a:avLst/>
                    </a:prstGeom>
                  </pic:spPr>
                </pic:pic>
              </a:graphicData>
            </a:graphic>
          </wp:inline>
        </w:drawing>
      </w:r>
    </w:p>
    <w:p w14:paraId="20841E9A" w14:textId="77777777" w:rsidR="002855B8" w:rsidRPr="002855B8" w:rsidRDefault="002855B8" w:rsidP="002855B8">
      <w:pPr>
        <w:pStyle w:val="Caption"/>
        <w:jc w:val="center"/>
        <w:rPr>
          <w:color w:val="auto"/>
        </w:rPr>
      </w:pPr>
      <w:bookmarkStart w:id="6" w:name="_Ref489518404"/>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1</w:t>
      </w:r>
      <w:r w:rsidRPr="002855B8">
        <w:rPr>
          <w:noProof/>
          <w:color w:val="auto"/>
        </w:rPr>
        <w:fldChar w:fldCharType="end"/>
      </w:r>
      <w:bookmarkEnd w:id="6"/>
      <w:r w:rsidRPr="002855B8">
        <w:rPr>
          <w:color w:val="auto"/>
        </w:rPr>
        <w:t>: UE miss-detection performance for varying PRB size and 1% Pr(false alarm)</w:t>
      </w:r>
    </w:p>
    <w:p w14:paraId="0796CCF8" w14:textId="77777777" w:rsidR="002855B8" w:rsidRDefault="002855B8" w:rsidP="002855B8">
      <w:pPr>
        <w:keepNext/>
        <w:jc w:val="center"/>
      </w:pPr>
      <w:r w:rsidRPr="00A05284">
        <w:rPr>
          <w:noProof/>
        </w:rPr>
        <w:drawing>
          <wp:inline distT="0" distB="0" distL="0" distR="0" wp14:anchorId="464979CC" wp14:editId="2422FF0E">
            <wp:extent cx="4305225" cy="338328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17" t="5213" r="7570"/>
                    <a:stretch/>
                  </pic:blipFill>
                  <pic:spPr bwMode="auto">
                    <a:xfrm>
                      <a:off x="0" y="0"/>
                      <a:ext cx="4305225" cy="3383280"/>
                    </a:xfrm>
                    <a:prstGeom prst="rect">
                      <a:avLst/>
                    </a:prstGeom>
                    <a:noFill/>
                    <a:ln>
                      <a:noFill/>
                    </a:ln>
                    <a:extLst>
                      <a:ext uri="{53640926-AAD7-44D8-BBD7-CCE9431645EC}">
                        <a14:shadowObscured xmlns:a14="http://schemas.microsoft.com/office/drawing/2010/main"/>
                      </a:ext>
                    </a:extLst>
                  </pic:spPr>
                </pic:pic>
              </a:graphicData>
            </a:graphic>
          </wp:inline>
        </w:drawing>
      </w:r>
    </w:p>
    <w:p w14:paraId="3F420376" w14:textId="77777777" w:rsidR="002855B8" w:rsidRPr="002855B8" w:rsidRDefault="002855B8" w:rsidP="002855B8">
      <w:pPr>
        <w:pStyle w:val="Caption"/>
        <w:jc w:val="center"/>
        <w:rPr>
          <w:color w:val="auto"/>
        </w:rPr>
      </w:pPr>
      <w:bookmarkStart w:id="7" w:name="_Ref489518407"/>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2</w:t>
      </w:r>
      <w:r w:rsidRPr="002855B8">
        <w:rPr>
          <w:noProof/>
          <w:color w:val="auto"/>
        </w:rPr>
        <w:fldChar w:fldCharType="end"/>
      </w:r>
      <w:bookmarkEnd w:id="7"/>
      <w:r w:rsidRPr="002855B8">
        <w:rPr>
          <w:color w:val="auto"/>
        </w:rPr>
        <w:t>: UE miss-detection performance for varying number of UEs and 1% Pr(false alarm)</w:t>
      </w:r>
    </w:p>
    <w:p w14:paraId="6EFBF5FF" w14:textId="5FDAD542" w:rsidR="00D3689C" w:rsidRDefault="00D3689C" w:rsidP="00D3689C">
      <w:pPr>
        <w:tabs>
          <w:tab w:val="num" w:pos="1440"/>
          <w:tab w:val="num" w:pos="2160"/>
        </w:tabs>
      </w:pPr>
      <w:r>
        <w:t xml:space="preserve">In </w:t>
      </w:r>
      <w:r>
        <w:fldChar w:fldCharType="begin"/>
      </w:r>
      <w:r>
        <w:instrText xml:space="preserve"> REF _Ref489518408 \h </w:instrText>
      </w:r>
      <w:r>
        <w:fldChar w:fldCharType="separate"/>
      </w:r>
      <w:r>
        <w:t xml:space="preserve">Figure </w:t>
      </w:r>
      <w:r>
        <w:rPr>
          <w:noProof/>
        </w:rPr>
        <w:t>3</w:t>
      </w:r>
      <w:r>
        <w:fldChar w:fldCharType="end"/>
      </w:r>
      <w:r>
        <w:t>, we can see that if we increase the false alarm target from 1% to 10% then we get significant gains, of more than 2dBs, for each setup. As stated above, choosing a target value for Pr(false alarm</w:t>
      </w:r>
      <w:r w:rsidRPr="00875305">
        <w:t>) defines the detection threshold</w:t>
      </w:r>
      <w:r>
        <w:t xml:space="preserve">. A higher value for </w:t>
      </w:r>
      <w:r w:rsidRPr="00875305">
        <w:t>Pr(</w:t>
      </w:r>
      <w:r>
        <w:t>false alarm</w:t>
      </w:r>
      <w:r w:rsidRPr="00875305">
        <w:t>)</w:t>
      </w:r>
      <w:r>
        <w:t xml:space="preserve"> implies a lower detection threshold which in turns results in lower</w:t>
      </w:r>
      <w:r w:rsidRPr="00875305">
        <w:t xml:space="preserve"> </w:t>
      </w:r>
      <w:r>
        <w:t xml:space="preserve">Pr(UE miss), and vice versa. The results here indicate that for an order-of-magnitude change in </w:t>
      </w:r>
      <w:r w:rsidRPr="00875305">
        <w:t>Pr(</w:t>
      </w:r>
      <w:r>
        <w:t>false alarm</w:t>
      </w:r>
      <w:r w:rsidRPr="00875305">
        <w:t>)</w:t>
      </w:r>
      <w:r>
        <w:t>, i.e., from 1% to 10%, we get a gain of more than 2dB in detection performance. Of course, depending on the use-case of interest we should c</w:t>
      </w:r>
      <w:r w:rsidRPr="00875305">
        <w:t>hoose the lowest admissible Pr(</w:t>
      </w:r>
      <w:r>
        <w:t>false alarm</w:t>
      </w:r>
      <w:r w:rsidRPr="00875305">
        <w:t xml:space="preserve">) that allows </w:t>
      </w:r>
      <w:r>
        <w:t xml:space="preserve">us </w:t>
      </w:r>
      <w:r w:rsidRPr="00875305">
        <w:t xml:space="preserve">to achieve </w:t>
      </w:r>
      <w:r>
        <w:t xml:space="preserve">a certain </w:t>
      </w:r>
      <w:r w:rsidRPr="00875305">
        <w:t xml:space="preserve">Pr(UE miss) </w:t>
      </w:r>
      <w:r>
        <w:t xml:space="preserve">value </w:t>
      </w:r>
      <w:r w:rsidRPr="00875305">
        <w:t>at a target SNR, e.g., -10dB for mMT</w:t>
      </w:r>
      <w:r>
        <w:t xml:space="preserve">C. We can see, for example, in </w:t>
      </w:r>
      <w:r>
        <w:fldChar w:fldCharType="begin"/>
      </w:r>
      <w:r>
        <w:instrText xml:space="preserve"> REF _Ref489519375 \h </w:instrText>
      </w:r>
      <w:r>
        <w:fldChar w:fldCharType="separate"/>
      </w:r>
      <w:r>
        <w:t xml:space="preserve">Figure </w:t>
      </w:r>
      <w:r>
        <w:rPr>
          <w:noProof/>
        </w:rPr>
        <w:t>4</w:t>
      </w:r>
      <w:r>
        <w:fldChar w:fldCharType="end"/>
      </w:r>
      <w:r>
        <w:t>, that with 10% Pr(false alalrm):</w:t>
      </w:r>
    </w:p>
    <w:p w14:paraId="5319264E" w14:textId="77777777" w:rsidR="00D3689C" w:rsidRPr="00B51D0A" w:rsidRDefault="00D3689C" w:rsidP="00D3689C">
      <w:pPr>
        <w:pStyle w:val="Observation"/>
        <w:numPr>
          <w:ilvl w:val="0"/>
          <w:numId w:val="36"/>
        </w:numPr>
        <w:spacing w:before="0"/>
        <w:jc w:val="left"/>
        <w:rPr>
          <w:b w:val="0"/>
        </w:rPr>
      </w:pPr>
      <w:r>
        <w:rPr>
          <w:b w:val="0"/>
        </w:rPr>
        <w:t>Pr</w:t>
      </w:r>
      <w:r w:rsidRPr="00B51D0A">
        <w:rPr>
          <w:b w:val="0"/>
        </w:rPr>
        <w:t>(UE miss) = 10</w:t>
      </w:r>
      <w:r w:rsidRPr="00B51D0A">
        <w:rPr>
          <w:b w:val="0"/>
          <w:vertAlign w:val="superscript"/>
        </w:rPr>
        <w:t>-1</w:t>
      </w:r>
      <w:r w:rsidRPr="00B51D0A">
        <w:rPr>
          <w:b w:val="0"/>
        </w:rPr>
        <w:t xml:space="preserve"> can be achieved, at approximately -10dB, with 2RX antennas and 8PRBs </w:t>
      </w:r>
    </w:p>
    <w:p w14:paraId="06DF631E" w14:textId="77777777" w:rsidR="00D3689C" w:rsidRPr="00B51D0A" w:rsidRDefault="00D3689C" w:rsidP="00D3689C">
      <w:pPr>
        <w:pStyle w:val="Observation"/>
        <w:numPr>
          <w:ilvl w:val="0"/>
          <w:numId w:val="36"/>
        </w:numPr>
        <w:spacing w:before="0"/>
        <w:jc w:val="left"/>
        <w:rPr>
          <w:b w:val="0"/>
        </w:rPr>
      </w:pPr>
      <w:r w:rsidRPr="00B51D0A">
        <w:rPr>
          <w:b w:val="0"/>
        </w:rPr>
        <w:lastRenderedPageBreak/>
        <w:t>Pr(UE miss) = 10</w:t>
      </w:r>
      <w:r w:rsidRPr="00B51D0A">
        <w:rPr>
          <w:b w:val="0"/>
          <w:vertAlign w:val="superscript"/>
        </w:rPr>
        <w:t>-2</w:t>
      </w:r>
      <w:r w:rsidRPr="00B51D0A">
        <w:rPr>
          <w:b w:val="0"/>
        </w:rPr>
        <w:t xml:space="preserve"> can be achieved, at approximately -10dB, with 4RX antennas and 8PRBs </w:t>
      </w:r>
    </w:p>
    <w:p w14:paraId="1EB3B38D" w14:textId="77777777" w:rsidR="00D3689C" w:rsidRPr="00D3689C" w:rsidRDefault="00D3689C" w:rsidP="002855B8">
      <w:pPr>
        <w:keepNext/>
        <w:jc w:val="center"/>
        <w:rPr>
          <w:lang w:val="en-US"/>
        </w:rPr>
      </w:pPr>
    </w:p>
    <w:p w14:paraId="628B96A3" w14:textId="3F1188A3" w:rsidR="002855B8" w:rsidRDefault="002855B8" w:rsidP="002855B8">
      <w:pPr>
        <w:keepNext/>
        <w:jc w:val="center"/>
      </w:pPr>
      <w:r w:rsidRPr="00F75555">
        <w:rPr>
          <w:noProof/>
        </w:rPr>
        <w:drawing>
          <wp:inline distT="0" distB="0" distL="0" distR="0" wp14:anchorId="22BE265B" wp14:editId="32AB2B33">
            <wp:extent cx="4192143" cy="3657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0"/>
                    <a:srcRect l="7569" t="6134" r="8667" b="5066"/>
                    <a:stretch/>
                  </pic:blipFill>
                  <pic:spPr>
                    <a:xfrm>
                      <a:off x="0" y="0"/>
                      <a:ext cx="4192143" cy="3657600"/>
                    </a:xfrm>
                    <a:prstGeom prst="rect">
                      <a:avLst/>
                    </a:prstGeom>
                  </pic:spPr>
                </pic:pic>
              </a:graphicData>
            </a:graphic>
          </wp:inline>
        </w:drawing>
      </w:r>
    </w:p>
    <w:p w14:paraId="201EE414" w14:textId="3ED55AE1" w:rsidR="002855B8" w:rsidRDefault="002855B8" w:rsidP="002855B8">
      <w:pPr>
        <w:pStyle w:val="Caption"/>
        <w:jc w:val="center"/>
        <w:rPr>
          <w:color w:val="auto"/>
        </w:rPr>
      </w:pPr>
      <w:bookmarkStart w:id="8" w:name="_Ref489518408"/>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3</w:t>
      </w:r>
      <w:r w:rsidRPr="002855B8">
        <w:rPr>
          <w:noProof/>
          <w:color w:val="auto"/>
        </w:rPr>
        <w:fldChar w:fldCharType="end"/>
      </w:r>
      <w:bookmarkEnd w:id="8"/>
      <w:r w:rsidRPr="002855B8">
        <w:rPr>
          <w:color w:val="auto"/>
        </w:rPr>
        <w:t>: UE miss-detection performance for different probabilities of False Alarm</w:t>
      </w:r>
    </w:p>
    <w:p w14:paraId="1A0C3019" w14:textId="77777777" w:rsidR="00D3689C" w:rsidRPr="00D3689C" w:rsidRDefault="00D3689C" w:rsidP="00D3689C"/>
    <w:p w14:paraId="5C208637" w14:textId="77777777" w:rsidR="002855B8" w:rsidRDefault="002855B8" w:rsidP="002855B8">
      <w:pPr>
        <w:keepNext/>
        <w:tabs>
          <w:tab w:val="num" w:pos="1440"/>
          <w:tab w:val="num" w:pos="2160"/>
        </w:tabs>
        <w:jc w:val="center"/>
      </w:pPr>
      <w:r w:rsidRPr="00AC73DB">
        <w:rPr>
          <w:noProof/>
        </w:rPr>
        <w:drawing>
          <wp:inline distT="0" distB="0" distL="0" distR="0" wp14:anchorId="60184A35" wp14:editId="7A0221BD">
            <wp:extent cx="4472112" cy="35661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595" t="5044" r="7680"/>
                    <a:stretch/>
                  </pic:blipFill>
                  <pic:spPr bwMode="auto">
                    <a:xfrm>
                      <a:off x="0" y="0"/>
                      <a:ext cx="4472112" cy="3566160"/>
                    </a:xfrm>
                    <a:prstGeom prst="rect">
                      <a:avLst/>
                    </a:prstGeom>
                    <a:noFill/>
                    <a:ln>
                      <a:noFill/>
                    </a:ln>
                    <a:extLst>
                      <a:ext uri="{53640926-AAD7-44D8-BBD7-CCE9431645EC}">
                        <a14:shadowObscured xmlns:a14="http://schemas.microsoft.com/office/drawing/2010/main"/>
                      </a:ext>
                    </a:extLst>
                  </pic:spPr>
                </pic:pic>
              </a:graphicData>
            </a:graphic>
          </wp:inline>
        </w:drawing>
      </w:r>
    </w:p>
    <w:p w14:paraId="66C9D999" w14:textId="77777777" w:rsidR="002855B8" w:rsidRPr="002855B8" w:rsidRDefault="002855B8" w:rsidP="002855B8">
      <w:pPr>
        <w:pStyle w:val="Caption"/>
        <w:jc w:val="center"/>
        <w:rPr>
          <w:color w:val="auto"/>
        </w:rPr>
      </w:pPr>
      <w:bookmarkStart w:id="9" w:name="_Ref489519375"/>
      <w:r w:rsidRPr="002855B8">
        <w:rPr>
          <w:color w:val="auto"/>
        </w:rPr>
        <w:t xml:space="preserve">Figure </w:t>
      </w:r>
      <w:r w:rsidRPr="002855B8">
        <w:rPr>
          <w:color w:val="auto"/>
        </w:rPr>
        <w:fldChar w:fldCharType="begin"/>
      </w:r>
      <w:r w:rsidRPr="002855B8">
        <w:rPr>
          <w:color w:val="auto"/>
        </w:rPr>
        <w:instrText xml:space="preserve"> SEQ Figure \* ARABIC </w:instrText>
      </w:r>
      <w:r w:rsidRPr="002855B8">
        <w:rPr>
          <w:color w:val="auto"/>
        </w:rPr>
        <w:fldChar w:fldCharType="separate"/>
      </w:r>
      <w:r w:rsidRPr="002855B8">
        <w:rPr>
          <w:noProof/>
          <w:color w:val="auto"/>
        </w:rPr>
        <w:t>4</w:t>
      </w:r>
      <w:r w:rsidRPr="002855B8">
        <w:rPr>
          <w:noProof/>
          <w:color w:val="auto"/>
        </w:rPr>
        <w:fldChar w:fldCharType="end"/>
      </w:r>
      <w:bookmarkEnd w:id="9"/>
      <w:r w:rsidRPr="002855B8">
        <w:rPr>
          <w:color w:val="auto"/>
        </w:rPr>
        <w:t>: UE miss-detection performance for 10% Pr(False Alarm)</w:t>
      </w:r>
    </w:p>
    <w:p w14:paraId="62C4668E" w14:textId="77777777" w:rsidR="002855B8" w:rsidRPr="00B51D0A" w:rsidRDefault="002855B8" w:rsidP="002855B8">
      <w:pPr>
        <w:pStyle w:val="Observation"/>
        <w:numPr>
          <w:ilvl w:val="0"/>
          <w:numId w:val="0"/>
        </w:numPr>
        <w:rPr>
          <w:b w:val="0"/>
        </w:rPr>
      </w:pPr>
      <w:r>
        <w:rPr>
          <w:b w:val="0"/>
        </w:rPr>
        <w:lastRenderedPageBreak/>
        <w:t>It can be inferred from the presented results that we achieve even lower Pr</w:t>
      </w:r>
      <w:r w:rsidRPr="00B51D0A">
        <w:rPr>
          <w:b w:val="0"/>
        </w:rPr>
        <w:t>(UE miss)</w:t>
      </w:r>
      <w:r>
        <w:rPr>
          <w:b w:val="0"/>
        </w:rPr>
        <w:t xml:space="preserve"> values, e.g., Pr</w:t>
      </w:r>
      <w:r w:rsidRPr="00B51D0A">
        <w:rPr>
          <w:b w:val="0"/>
        </w:rPr>
        <w:t>(UE miss) = 10</w:t>
      </w:r>
      <w:r>
        <w:rPr>
          <w:b w:val="0"/>
          <w:vertAlign w:val="superscript"/>
        </w:rPr>
        <w:t>-3</w:t>
      </w:r>
      <w:r>
        <w:rPr>
          <w:b w:val="0"/>
        </w:rPr>
        <w:t>, with other configurations. Such performance can be relevant for certain use-cases. Based on these conclusions, we can make the following statements:</w:t>
      </w:r>
    </w:p>
    <w:p w14:paraId="239F4FB9" w14:textId="77777777" w:rsidR="002855B8" w:rsidRPr="008D0415" w:rsidRDefault="002855B8" w:rsidP="002855B8">
      <w:pPr>
        <w:pStyle w:val="Observation"/>
        <w:numPr>
          <w:ilvl w:val="0"/>
          <w:numId w:val="21"/>
        </w:numPr>
        <w:ind w:left="1701" w:hanging="1701"/>
        <w:jc w:val="left"/>
      </w:pPr>
      <w:r>
        <w:t>UE-</w:t>
      </w:r>
      <w:r w:rsidRPr="0054743B">
        <w:t>identification</w:t>
      </w:r>
      <w:r>
        <w:t xml:space="preserve"> based on DMRS sequence detection yields acceptable results across the SNR operation range</w:t>
      </w:r>
    </w:p>
    <w:p w14:paraId="095DB1D5" w14:textId="3BA1F23A" w:rsidR="00BE5128" w:rsidRDefault="002855B8" w:rsidP="00D3689C">
      <w:pPr>
        <w:pStyle w:val="Proposal"/>
        <w:numPr>
          <w:ilvl w:val="0"/>
          <w:numId w:val="25"/>
        </w:numPr>
        <w:tabs>
          <w:tab w:val="clear" w:pos="1304"/>
          <w:tab w:val="num" w:pos="1736"/>
        </w:tabs>
        <w:spacing w:line="259" w:lineRule="auto"/>
        <w:ind w:left="1736" w:hanging="1736"/>
        <w:jc w:val="left"/>
      </w:pPr>
      <w:r w:rsidRPr="0054743B">
        <w:t>DMRS</w:t>
      </w:r>
      <w:r>
        <w:t>-</w:t>
      </w:r>
      <w:r w:rsidRPr="000B1C81">
        <w:t xml:space="preserve"> </w:t>
      </w:r>
      <w:r>
        <w:t>based UE-</w:t>
      </w:r>
      <w:r w:rsidRPr="0054743B">
        <w:t xml:space="preserve">identification should be </w:t>
      </w:r>
      <w:r>
        <w:t xml:space="preserve">supported for </w:t>
      </w:r>
      <w:r w:rsidR="001E408D">
        <w:t>NoMA</w:t>
      </w:r>
    </w:p>
    <w:p w14:paraId="3CA2DB5C" w14:textId="06719A56" w:rsidR="00767270" w:rsidRDefault="00767270" w:rsidP="00767270">
      <w:pPr>
        <w:pStyle w:val="Heading2"/>
      </w:pPr>
      <w:r>
        <w:t>Power control</w:t>
      </w:r>
    </w:p>
    <w:p w14:paraId="02650925" w14:textId="421C0D3B" w:rsidR="002D67D6" w:rsidRDefault="002D67D6" w:rsidP="00767270">
      <w:pPr>
        <w:pStyle w:val="BodyText"/>
      </w:pPr>
      <w:r>
        <w:t xml:space="preserve">One key issue with any multiuser detection is the power imbalance between users. More specifically, in most designs it is assumed that the received power from different users at the receiver is either the same or can be ideally controlled. However, in reality the power control process is not ideal and there can be a difference of </w:t>
      </w:r>
      <m:oMath>
        <m:r>
          <w:rPr>
            <w:rFonts w:ascii="Cambria Math" w:hAnsi="Cambria Math"/>
          </w:rPr>
          <m:t>∆P</m:t>
        </m:r>
      </m:oMath>
      <w:r>
        <w:t xml:space="preserve"> between the target power and the realistic power at the receiver. It is important that the power control imperfection is considered in the evaluation of different NoMA schemes.</w:t>
      </w:r>
    </w:p>
    <w:p w14:paraId="16592CF7" w14:textId="50641F3D" w:rsidR="00767270" w:rsidRDefault="00767270" w:rsidP="00A51E0E">
      <w:pPr>
        <w:pStyle w:val="BodyText"/>
      </w:pPr>
      <w:r>
        <w:t xml:space="preserve">In </w:t>
      </w:r>
      <w:r w:rsidR="002D67D6">
        <w:fldChar w:fldCharType="begin"/>
      </w:r>
      <w:r w:rsidR="002D67D6">
        <w:instrText xml:space="preserve"> REF _Ref478394439 \h </w:instrText>
      </w:r>
      <w:r w:rsidR="002D67D6">
        <w:fldChar w:fldCharType="separate"/>
      </w:r>
      <w:r w:rsidR="002D67D6" w:rsidRPr="00177E1B">
        <w:t xml:space="preserve">Figure </w:t>
      </w:r>
      <w:r w:rsidR="002D67D6">
        <w:rPr>
          <w:noProof/>
        </w:rPr>
        <w:t>5</w:t>
      </w:r>
      <w:r w:rsidR="002D67D6">
        <w:fldChar w:fldCharType="end"/>
      </w:r>
      <w:r>
        <w:t>,</w:t>
      </w:r>
      <w:r w:rsidR="002D67D6">
        <w:t xml:space="preserve"> we show the impact of </w:t>
      </w:r>
      <w:r>
        <w:t xml:space="preserve">imperfect </w:t>
      </w:r>
      <w:r w:rsidR="002D67D6">
        <w:t>power control on WSMA with 6 and 8 users on 4 resource elements. T</w:t>
      </w:r>
      <w:r>
        <w:t xml:space="preserve">he variation on the long term received power is modelled as uniformly distributed in the interval </w:t>
      </w:r>
      <m:oMath>
        <m:d>
          <m:dPr>
            <m:begChr m:val="["/>
            <m:endChr m:val="]"/>
            <m:ctrlPr>
              <w:rPr>
                <w:rFonts w:ascii="Cambria Math" w:hAnsi="Cambria Math"/>
              </w:rPr>
            </m:ctrlPr>
          </m:dPr>
          <m:e>
            <m:r>
              <m:rPr>
                <m:sty m:val="p"/>
              </m:rPr>
              <w:rPr>
                <w:rFonts w:ascii="Cambria Math" w:hAnsi="Cambria Math"/>
              </w:rPr>
              <m:t>-5,5</m:t>
            </m:r>
          </m:e>
        </m:d>
      </m:oMath>
      <w:r>
        <w:t xml:space="preserve">dB. We can see that the lack of perfect power control leads to performance degradation, yet the system shows robustness and the penalty is negligible for most of the cases. What is noticeable is that performance may improve in the low-SNR regime. A reason can be that in this regime performance is poor due to the inability to resolve the overlapping UEs. Therefore, asymmetry in the received power levels can benefit some of the UEs, which can dominate the aggregate signal. </w:t>
      </w:r>
    </w:p>
    <w:p w14:paraId="611DA495" w14:textId="14BF0572" w:rsidR="00A51E0E" w:rsidRPr="0054743B" w:rsidRDefault="002E0DBC" w:rsidP="009A416D">
      <w:pPr>
        <w:pStyle w:val="Observation"/>
        <w:numPr>
          <w:ilvl w:val="0"/>
          <w:numId w:val="21"/>
        </w:numPr>
        <w:ind w:left="1701" w:hanging="1701"/>
        <w:jc w:val="left"/>
      </w:pPr>
      <w:r>
        <w:t xml:space="preserve">A NoMA scheme should </w:t>
      </w:r>
      <w:r w:rsidR="00C4027E">
        <w:t xml:space="preserve">be able to </w:t>
      </w:r>
      <w:r w:rsidR="00F10A3C">
        <w:t xml:space="preserve">tolerate </w:t>
      </w:r>
      <w:r w:rsidR="00A9514A">
        <w:t xml:space="preserve">a reasonable </w:t>
      </w:r>
      <w:r w:rsidR="009A416D">
        <w:t>power imbalance</w:t>
      </w:r>
    </w:p>
    <w:p w14:paraId="2C0F46D8" w14:textId="77777777" w:rsidR="00A51E0E" w:rsidRPr="00A51E0E" w:rsidRDefault="00A51E0E" w:rsidP="00A51E0E">
      <w:pPr>
        <w:pStyle w:val="BodyText"/>
        <w:rPr>
          <w:lang w:val="en-US"/>
        </w:rPr>
      </w:pPr>
    </w:p>
    <w:p w14:paraId="761EAAA9" w14:textId="77777777" w:rsidR="00767270" w:rsidRPr="00F37B17" w:rsidRDefault="00767270" w:rsidP="00767270">
      <w:pPr>
        <w:ind w:left="1276"/>
        <w:jc w:val="center"/>
      </w:pPr>
      <w:r w:rsidRPr="001D0CD9">
        <w:rPr>
          <w:noProof/>
          <w:lang w:val="sv-SE" w:eastAsia="sv-SE"/>
        </w:rPr>
        <w:drawing>
          <wp:inline distT="0" distB="0" distL="0" distR="0" wp14:anchorId="6EFF07E6" wp14:editId="48DEFDBD">
            <wp:extent cx="4533900" cy="38706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13" t="5029" r="4437" b="2213"/>
                    <a:stretch/>
                  </pic:blipFill>
                  <pic:spPr bwMode="auto">
                    <a:xfrm>
                      <a:off x="0" y="0"/>
                      <a:ext cx="4570715" cy="3902036"/>
                    </a:xfrm>
                    <a:prstGeom prst="rect">
                      <a:avLst/>
                    </a:prstGeom>
                    <a:noFill/>
                    <a:ln>
                      <a:noFill/>
                    </a:ln>
                    <a:extLst>
                      <a:ext uri="{53640926-AAD7-44D8-BBD7-CCE9431645EC}">
                        <a14:shadowObscured xmlns:a14="http://schemas.microsoft.com/office/drawing/2010/main"/>
                      </a:ext>
                    </a:extLst>
                  </pic:spPr>
                </pic:pic>
              </a:graphicData>
            </a:graphic>
          </wp:inline>
        </w:drawing>
      </w:r>
    </w:p>
    <w:p w14:paraId="118618AC" w14:textId="5DB7AC07" w:rsidR="00767270" w:rsidRDefault="00767270" w:rsidP="00767270">
      <w:pPr>
        <w:pStyle w:val="Caption"/>
        <w:ind w:left="1276"/>
        <w:rPr>
          <w:color w:val="auto"/>
        </w:rPr>
      </w:pPr>
      <w:bookmarkStart w:id="10" w:name="_Ref478394439"/>
      <w:r w:rsidRPr="00177E1B">
        <w:rPr>
          <w:color w:val="auto"/>
        </w:rPr>
        <w:t xml:space="preserve">Figure </w:t>
      </w:r>
      <w:r w:rsidRPr="00177E1B">
        <w:rPr>
          <w:color w:val="auto"/>
        </w:rPr>
        <w:fldChar w:fldCharType="begin"/>
      </w:r>
      <w:r w:rsidRPr="00177E1B">
        <w:rPr>
          <w:color w:val="auto"/>
        </w:rPr>
        <w:instrText xml:space="preserve"> SEQ Figure \* ARABIC </w:instrText>
      </w:r>
      <w:r w:rsidRPr="00177E1B">
        <w:rPr>
          <w:color w:val="auto"/>
        </w:rPr>
        <w:fldChar w:fldCharType="separate"/>
      </w:r>
      <w:r w:rsidR="004E2124">
        <w:rPr>
          <w:noProof/>
          <w:color w:val="auto"/>
        </w:rPr>
        <w:t>5</w:t>
      </w:r>
      <w:r w:rsidRPr="00177E1B">
        <w:rPr>
          <w:color w:val="auto"/>
        </w:rPr>
        <w:fldChar w:fldCharType="end"/>
      </w:r>
      <w:bookmarkEnd w:id="10"/>
      <w:r w:rsidRPr="00177E1B">
        <w:rPr>
          <w:color w:val="auto"/>
        </w:rPr>
        <w:t xml:space="preserve">: Sum-rate performance </w:t>
      </w:r>
      <w:r w:rsidR="002D67D6">
        <w:rPr>
          <w:color w:val="auto"/>
        </w:rPr>
        <w:t>of</w:t>
      </w:r>
      <w:r w:rsidRPr="00177E1B">
        <w:rPr>
          <w:color w:val="auto"/>
        </w:rPr>
        <w:t xml:space="preserve"> WSMA</w:t>
      </w:r>
      <w:r w:rsidRPr="00F37B17">
        <w:rPr>
          <w:color w:val="auto"/>
          <w:vertAlign w:val="subscript"/>
        </w:rPr>
        <w:t>4</w:t>
      </w:r>
      <w:r w:rsidRPr="00177E1B">
        <w:rPr>
          <w:color w:val="auto"/>
        </w:rPr>
        <w:t xml:space="preserve"> for a system with </w:t>
      </w:r>
      <w:r>
        <w:rPr>
          <w:color w:val="auto"/>
        </w:rPr>
        <w:t xml:space="preserve">QPSK, and imperfect power control, such that the long-term average SNR is uniformly distributed in the interval </w:t>
      </w:r>
      <m:oMath>
        <m:d>
          <m:dPr>
            <m:begChr m:val="["/>
            <m:endChr m:val="]"/>
            <m:ctrlPr>
              <w:rPr>
                <w:rFonts w:ascii="Cambria Math" w:hAnsi="Cambria Math"/>
                <w:color w:val="auto"/>
              </w:rPr>
            </m:ctrlPr>
          </m:dPr>
          <m:e>
            <m:r>
              <m:rPr>
                <m:sty m:val="bi"/>
              </m:rPr>
              <w:rPr>
                <w:rFonts w:ascii="Cambria Math" w:hAnsi="Cambria Math"/>
                <w:color w:val="auto"/>
              </w:rPr>
              <m:t>-5,5</m:t>
            </m:r>
          </m:e>
        </m:d>
        <m:r>
          <m:rPr>
            <m:sty m:val="bi"/>
          </m:rPr>
          <w:rPr>
            <w:rFonts w:ascii="Cambria Math" w:hAnsi="Cambria Math"/>
            <w:color w:val="auto"/>
          </w:rPr>
          <m:t>dB</m:t>
        </m:r>
      </m:oMath>
      <w:r>
        <w:rPr>
          <w:color w:val="auto"/>
        </w:rPr>
        <w:t>.</w:t>
      </w:r>
    </w:p>
    <w:p w14:paraId="4F3A9B00" w14:textId="77777777" w:rsidR="00767270" w:rsidRPr="00767270" w:rsidRDefault="00767270" w:rsidP="00767270">
      <w:pPr>
        <w:pStyle w:val="BodyText"/>
      </w:pPr>
    </w:p>
    <w:p w14:paraId="7C432881" w14:textId="48514A95" w:rsidR="00ED364B" w:rsidRDefault="00ED364B" w:rsidP="00BE45AC">
      <w:pPr>
        <w:pStyle w:val="Heading1"/>
      </w:pPr>
      <w:r w:rsidRPr="00ED364B">
        <w:lastRenderedPageBreak/>
        <w:t>Conclusions</w:t>
      </w:r>
    </w:p>
    <w:p w14:paraId="2E83E063" w14:textId="36CA870B" w:rsidR="008A60AE" w:rsidRDefault="00D3689C" w:rsidP="001C6139">
      <w:pPr>
        <w:pStyle w:val="BodyText"/>
      </w:pPr>
      <w:r>
        <w:t>In section</w:t>
      </w:r>
      <w:r w:rsidR="00BE45AC">
        <w:t xml:space="preserve"> </w:t>
      </w:r>
      <w:r w:rsidR="008A60AE">
        <w:t>2</w:t>
      </w:r>
      <w:r w:rsidR="00BE45AC">
        <w:t xml:space="preserve">, the following observations and </w:t>
      </w:r>
      <w:r>
        <w:t>proposals</w:t>
      </w:r>
      <w:r w:rsidR="00BE45AC">
        <w:t xml:space="preserve"> were made: </w:t>
      </w:r>
    </w:p>
    <w:p w14:paraId="2DF15C51" w14:textId="319F58C3" w:rsidR="00D3689C" w:rsidRDefault="00D3689C" w:rsidP="00D3689C">
      <w:pPr>
        <w:pStyle w:val="Observation"/>
        <w:numPr>
          <w:ilvl w:val="0"/>
          <w:numId w:val="0"/>
        </w:numPr>
        <w:jc w:val="left"/>
      </w:pPr>
      <w:r>
        <w:rPr>
          <w:lang w:val="en-GB"/>
        </w:rPr>
        <w:t xml:space="preserve">Observation 1: </w:t>
      </w:r>
      <w:r>
        <w:t>Channel estimation for colliding UEs can be done using DMRS sequences with different cyclic shifts</w:t>
      </w:r>
    </w:p>
    <w:p w14:paraId="28D7F0C7" w14:textId="7A729325" w:rsidR="00D3689C" w:rsidRDefault="00D3689C" w:rsidP="00D3689C">
      <w:pPr>
        <w:pStyle w:val="Observation"/>
        <w:numPr>
          <w:ilvl w:val="0"/>
          <w:numId w:val="0"/>
        </w:numPr>
        <w:ind w:left="1701" w:hanging="1701"/>
        <w:jc w:val="left"/>
      </w:pPr>
      <w:r>
        <w:rPr>
          <w:lang w:val="en-GB"/>
        </w:rPr>
        <w:t xml:space="preserve">Observation 2: </w:t>
      </w:r>
      <w:r>
        <w:t>UE-</w:t>
      </w:r>
      <w:r w:rsidRPr="0054743B">
        <w:t>identification</w:t>
      </w:r>
      <w:r>
        <w:t xml:space="preserve"> based on DMRS sequence detection yields acceptable results across the SNR operation range</w:t>
      </w:r>
    </w:p>
    <w:p w14:paraId="57D2B111" w14:textId="39B421D8" w:rsidR="00626F61" w:rsidRPr="0054743B" w:rsidRDefault="00626F61" w:rsidP="00626F61">
      <w:pPr>
        <w:pStyle w:val="Observation"/>
        <w:numPr>
          <w:ilvl w:val="0"/>
          <w:numId w:val="0"/>
        </w:numPr>
        <w:ind w:left="1701" w:hanging="1701"/>
        <w:jc w:val="left"/>
      </w:pPr>
      <w:r>
        <w:t>Observation 3:</w:t>
      </w:r>
      <w:r w:rsidR="007944CD">
        <w:t xml:space="preserve"> </w:t>
      </w:r>
      <w:r>
        <w:t>A NoMA scheme should be able to tolerate a reasonable power imbalance</w:t>
      </w:r>
    </w:p>
    <w:p w14:paraId="7F3CB923" w14:textId="2735D592" w:rsidR="00D3689C" w:rsidRDefault="00D3689C" w:rsidP="00D3689C">
      <w:pPr>
        <w:pStyle w:val="Observation"/>
        <w:numPr>
          <w:ilvl w:val="0"/>
          <w:numId w:val="0"/>
        </w:numPr>
        <w:tabs>
          <w:tab w:val="num" w:pos="1736"/>
        </w:tabs>
        <w:jc w:val="left"/>
      </w:pPr>
      <w:r>
        <w:t xml:space="preserve">Proposal 1: </w:t>
      </w:r>
      <w:r w:rsidRPr="0054743B">
        <w:t>DMRS</w:t>
      </w:r>
      <w:r>
        <w:t>-</w:t>
      </w:r>
      <w:r w:rsidRPr="000B1C81">
        <w:t xml:space="preserve"> </w:t>
      </w:r>
      <w:r>
        <w:t>based UE-</w:t>
      </w:r>
      <w:r w:rsidRPr="0054743B">
        <w:t xml:space="preserve">identification should be </w:t>
      </w:r>
      <w:r>
        <w:t>supported for NoMA</w:t>
      </w:r>
    </w:p>
    <w:p w14:paraId="5273357D" w14:textId="77777777" w:rsidR="00D3689C" w:rsidRPr="008D0415" w:rsidRDefault="00D3689C" w:rsidP="00D3689C">
      <w:pPr>
        <w:pStyle w:val="Observation"/>
        <w:numPr>
          <w:ilvl w:val="0"/>
          <w:numId w:val="0"/>
        </w:numPr>
        <w:jc w:val="left"/>
      </w:pPr>
    </w:p>
    <w:p w14:paraId="432EE939" w14:textId="574D90D5" w:rsidR="00B14E28" w:rsidRPr="00B14E28" w:rsidRDefault="00764741" w:rsidP="00BE45AC">
      <w:pPr>
        <w:pStyle w:val="Heading1"/>
      </w:pPr>
      <w:r w:rsidRPr="00ED364B">
        <w:t>References</w:t>
      </w:r>
    </w:p>
    <w:p w14:paraId="6F13C84A" w14:textId="2CC28E51" w:rsidR="007A5381" w:rsidRPr="00ED364B" w:rsidRDefault="00A51E0E" w:rsidP="00760F3D">
      <w:pPr>
        <w:pStyle w:val="BodyText"/>
        <w:numPr>
          <w:ilvl w:val="0"/>
          <w:numId w:val="9"/>
        </w:numPr>
      </w:pPr>
      <w:r>
        <w:t>RP-171043, Study on Non-orthogonal Multiple Access for NR</w:t>
      </w:r>
    </w:p>
    <w:sectPr w:rsidR="007A5381" w:rsidRPr="00ED364B" w:rsidSect="000223B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C0184" w14:textId="77777777" w:rsidR="0061015C" w:rsidRDefault="0061015C" w:rsidP="00BE45AC">
      <w:r>
        <w:separator/>
      </w:r>
    </w:p>
  </w:endnote>
  <w:endnote w:type="continuationSeparator" w:id="0">
    <w:p w14:paraId="35ED6656" w14:textId="77777777" w:rsidR="0061015C" w:rsidRDefault="0061015C" w:rsidP="00BE45AC">
      <w:r>
        <w:continuationSeparator/>
      </w:r>
    </w:p>
  </w:endnote>
  <w:endnote w:type="continuationNotice" w:id="1">
    <w:p w14:paraId="7B1F36D1" w14:textId="77777777" w:rsidR="0061015C" w:rsidRDefault="0061015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114BF" w14:textId="77777777" w:rsidR="0061015C" w:rsidRDefault="0061015C" w:rsidP="00BE45AC">
      <w:r>
        <w:separator/>
      </w:r>
    </w:p>
  </w:footnote>
  <w:footnote w:type="continuationSeparator" w:id="0">
    <w:p w14:paraId="05654E07" w14:textId="77777777" w:rsidR="0061015C" w:rsidRDefault="0061015C" w:rsidP="00BE45AC">
      <w:r>
        <w:continuationSeparator/>
      </w:r>
    </w:p>
  </w:footnote>
  <w:footnote w:type="continuationNotice" w:id="1">
    <w:p w14:paraId="338CC567" w14:textId="77777777" w:rsidR="0061015C" w:rsidRDefault="0061015C">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27AFB"/>
    <w:multiLevelType w:val="multilevel"/>
    <w:tmpl w:val="9496CFAE"/>
    <w:lvl w:ilvl="0">
      <w:start w:val="1"/>
      <w:numFmt w:val="decimal"/>
      <w:lvlText w:val="[%1]."/>
      <w:lvlJc w:val="left"/>
      <w:pPr>
        <w:ind w:left="2024" w:hanging="360"/>
      </w:pPr>
    </w:lvl>
    <w:lvl w:ilvl="1">
      <w:start w:val="1"/>
      <w:numFmt w:val="lowerLetter"/>
      <w:lvlText w:val="%2."/>
      <w:lvlJc w:val="left"/>
      <w:pPr>
        <w:ind w:left="2744" w:hanging="360"/>
      </w:pPr>
    </w:lvl>
    <w:lvl w:ilvl="2">
      <w:start w:val="1"/>
      <w:numFmt w:val="lowerRoman"/>
      <w:lvlText w:val="%3."/>
      <w:lvlJc w:val="right"/>
      <w:pPr>
        <w:ind w:left="3464" w:hanging="180"/>
      </w:pPr>
    </w:lvl>
    <w:lvl w:ilvl="3">
      <w:start w:val="1"/>
      <w:numFmt w:val="decimal"/>
      <w:lvlText w:val="%4."/>
      <w:lvlJc w:val="left"/>
      <w:pPr>
        <w:ind w:left="4184" w:hanging="360"/>
      </w:pPr>
    </w:lvl>
    <w:lvl w:ilvl="4">
      <w:start w:val="1"/>
      <w:numFmt w:val="lowerLetter"/>
      <w:lvlText w:val="%5."/>
      <w:lvlJc w:val="left"/>
      <w:pPr>
        <w:ind w:left="4904" w:hanging="360"/>
      </w:pPr>
    </w:lvl>
    <w:lvl w:ilvl="5">
      <w:start w:val="1"/>
      <w:numFmt w:val="lowerRoman"/>
      <w:lvlText w:val="%6."/>
      <w:lvlJc w:val="right"/>
      <w:pPr>
        <w:ind w:left="5624" w:hanging="180"/>
      </w:pPr>
    </w:lvl>
    <w:lvl w:ilvl="6">
      <w:start w:val="1"/>
      <w:numFmt w:val="decimal"/>
      <w:lvlText w:val="%7."/>
      <w:lvlJc w:val="left"/>
      <w:pPr>
        <w:ind w:left="6344" w:hanging="360"/>
      </w:pPr>
    </w:lvl>
    <w:lvl w:ilvl="7">
      <w:start w:val="1"/>
      <w:numFmt w:val="lowerLetter"/>
      <w:lvlText w:val="%8."/>
      <w:lvlJc w:val="left"/>
      <w:pPr>
        <w:ind w:left="7064" w:hanging="360"/>
      </w:pPr>
    </w:lvl>
    <w:lvl w:ilvl="8">
      <w:start w:val="1"/>
      <w:numFmt w:val="lowerRoman"/>
      <w:lvlText w:val="%9."/>
      <w:lvlJc w:val="right"/>
      <w:pPr>
        <w:ind w:left="7784" w:hanging="180"/>
      </w:pPr>
    </w:lvl>
  </w:abstractNum>
  <w:abstractNum w:abstractNumId="3" w15:restartNumberingAfterBreak="0">
    <w:nsid w:val="0E935797"/>
    <w:multiLevelType w:val="hybridMultilevel"/>
    <w:tmpl w:val="1C5EC270"/>
    <w:lvl w:ilvl="0" w:tplc="FFBEA0CA">
      <w:start w:val="1"/>
      <w:numFmt w:val="bullet"/>
      <w:lvlText w:val="›"/>
      <w:lvlJc w:val="left"/>
      <w:pPr>
        <w:tabs>
          <w:tab w:val="num" w:pos="720"/>
        </w:tabs>
        <w:ind w:left="720" w:hanging="360"/>
      </w:pPr>
      <w:rPr>
        <w:rFonts w:ascii="Arial" w:hAnsi="Arial" w:hint="default"/>
      </w:rPr>
    </w:lvl>
    <w:lvl w:ilvl="1" w:tplc="F1CA984E" w:tentative="1">
      <w:start w:val="1"/>
      <w:numFmt w:val="bullet"/>
      <w:lvlText w:val="›"/>
      <w:lvlJc w:val="left"/>
      <w:pPr>
        <w:tabs>
          <w:tab w:val="num" w:pos="1440"/>
        </w:tabs>
        <w:ind w:left="1440" w:hanging="360"/>
      </w:pPr>
      <w:rPr>
        <w:rFonts w:ascii="Arial" w:hAnsi="Arial" w:hint="default"/>
      </w:rPr>
    </w:lvl>
    <w:lvl w:ilvl="2" w:tplc="6F8A9C28" w:tentative="1">
      <w:start w:val="1"/>
      <w:numFmt w:val="bullet"/>
      <w:lvlText w:val="›"/>
      <w:lvlJc w:val="left"/>
      <w:pPr>
        <w:tabs>
          <w:tab w:val="num" w:pos="2160"/>
        </w:tabs>
        <w:ind w:left="2160" w:hanging="360"/>
      </w:pPr>
      <w:rPr>
        <w:rFonts w:ascii="Arial" w:hAnsi="Arial" w:hint="default"/>
      </w:rPr>
    </w:lvl>
    <w:lvl w:ilvl="3" w:tplc="433846CC" w:tentative="1">
      <w:start w:val="1"/>
      <w:numFmt w:val="bullet"/>
      <w:lvlText w:val="›"/>
      <w:lvlJc w:val="left"/>
      <w:pPr>
        <w:tabs>
          <w:tab w:val="num" w:pos="2880"/>
        </w:tabs>
        <w:ind w:left="2880" w:hanging="360"/>
      </w:pPr>
      <w:rPr>
        <w:rFonts w:ascii="Arial" w:hAnsi="Arial" w:hint="default"/>
      </w:rPr>
    </w:lvl>
    <w:lvl w:ilvl="4" w:tplc="64D830AE" w:tentative="1">
      <w:start w:val="1"/>
      <w:numFmt w:val="bullet"/>
      <w:lvlText w:val="›"/>
      <w:lvlJc w:val="left"/>
      <w:pPr>
        <w:tabs>
          <w:tab w:val="num" w:pos="3600"/>
        </w:tabs>
        <w:ind w:left="3600" w:hanging="360"/>
      </w:pPr>
      <w:rPr>
        <w:rFonts w:ascii="Arial" w:hAnsi="Arial" w:hint="default"/>
      </w:rPr>
    </w:lvl>
    <w:lvl w:ilvl="5" w:tplc="E18EA5C2" w:tentative="1">
      <w:start w:val="1"/>
      <w:numFmt w:val="bullet"/>
      <w:lvlText w:val="›"/>
      <w:lvlJc w:val="left"/>
      <w:pPr>
        <w:tabs>
          <w:tab w:val="num" w:pos="4320"/>
        </w:tabs>
        <w:ind w:left="4320" w:hanging="360"/>
      </w:pPr>
      <w:rPr>
        <w:rFonts w:ascii="Arial" w:hAnsi="Arial" w:hint="default"/>
      </w:rPr>
    </w:lvl>
    <w:lvl w:ilvl="6" w:tplc="A1524108" w:tentative="1">
      <w:start w:val="1"/>
      <w:numFmt w:val="bullet"/>
      <w:lvlText w:val="›"/>
      <w:lvlJc w:val="left"/>
      <w:pPr>
        <w:tabs>
          <w:tab w:val="num" w:pos="5040"/>
        </w:tabs>
        <w:ind w:left="5040" w:hanging="360"/>
      </w:pPr>
      <w:rPr>
        <w:rFonts w:ascii="Arial" w:hAnsi="Arial" w:hint="default"/>
      </w:rPr>
    </w:lvl>
    <w:lvl w:ilvl="7" w:tplc="597C5810" w:tentative="1">
      <w:start w:val="1"/>
      <w:numFmt w:val="bullet"/>
      <w:lvlText w:val="›"/>
      <w:lvlJc w:val="left"/>
      <w:pPr>
        <w:tabs>
          <w:tab w:val="num" w:pos="5760"/>
        </w:tabs>
        <w:ind w:left="5760" w:hanging="360"/>
      </w:pPr>
      <w:rPr>
        <w:rFonts w:ascii="Arial" w:hAnsi="Arial" w:hint="default"/>
      </w:rPr>
    </w:lvl>
    <w:lvl w:ilvl="8" w:tplc="AE6264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0B94AA46"/>
    <w:lvl w:ilvl="0" w:tplc="B60EABA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3" w15:restartNumberingAfterBreak="0">
    <w:nsid w:val="3B0F605B"/>
    <w:multiLevelType w:val="hybridMultilevel"/>
    <w:tmpl w:val="52C0E954"/>
    <w:lvl w:ilvl="0" w:tplc="84202A4E">
      <w:numFmt w:val="bullet"/>
      <w:lvlText w:val="•"/>
      <w:lvlJc w:val="left"/>
      <w:pPr>
        <w:ind w:left="2968" w:hanging="360"/>
      </w:pPr>
      <w:rPr>
        <w:rFonts w:ascii="Arial" w:eastAsia="MS Mincho" w:hAnsi="Arial" w:cs="Arial" w:hint="default"/>
      </w:rPr>
    </w:lvl>
    <w:lvl w:ilvl="1" w:tplc="041D0003" w:tentative="1">
      <w:start w:val="1"/>
      <w:numFmt w:val="bullet"/>
      <w:lvlText w:val="o"/>
      <w:lvlJc w:val="left"/>
      <w:pPr>
        <w:ind w:left="3688" w:hanging="360"/>
      </w:pPr>
      <w:rPr>
        <w:rFonts w:ascii="Courier New" w:hAnsi="Courier New" w:cs="Courier New" w:hint="default"/>
      </w:rPr>
    </w:lvl>
    <w:lvl w:ilvl="2" w:tplc="041D0005" w:tentative="1">
      <w:start w:val="1"/>
      <w:numFmt w:val="bullet"/>
      <w:lvlText w:val=""/>
      <w:lvlJc w:val="left"/>
      <w:pPr>
        <w:ind w:left="4408" w:hanging="360"/>
      </w:pPr>
      <w:rPr>
        <w:rFonts w:ascii="Wingdings" w:hAnsi="Wingdings" w:hint="default"/>
      </w:rPr>
    </w:lvl>
    <w:lvl w:ilvl="3" w:tplc="041D0001" w:tentative="1">
      <w:start w:val="1"/>
      <w:numFmt w:val="bullet"/>
      <w:lvlText w:val=""/>
      <w:lvlJc w:val="left"/>
      <w:pPr>
        <w:ind w:left="5128" w:hanging="360"/>
      </w:pPr>
      <w:rPr>
        <w:rFonts w:ascii="Symbol" w:hAnsi="Symbol" w:hint="default"/>
      </w:rPr>
    </w:lvl>
    <w:lvl w:ilvl="4" w:tplc="041D0003" w:tentative="1">
      <w:start w:val="1"/>
      <w:numFmt w:val="bullet"/>
      <w:lvlText w:val="o"/>
      <w:lvlJc w:val="left"/>
      <w:pPr>
        <w:ind w:left="5848" w:hanging="360"/>
      </w:pPr>
      <w:rPr>
        <w:rFonts w:ascii="Courier New" w:hAnsi="Courier New" w:cs="Courier New" w:hint="default"/>
      </w:rPr>
    </w:lvl>
    <w:lvl w:ilvl="5" w:tplc="041D0005" w:tentative="1">
      <w:start w:val="1"/>
      <w:numFmt w:val="bullet"/>
      <w:lvlText w:val=""/>
      <w:lvlJc w:val="left"/>
      <w:pPr>
        <w:ind w:left="6568" w:hanging="360"/>
      </w:pPr>
      <w:rPr>
        <w:rFonts w:ascii="Wingdings" w:hAnsi="Wingdings" w:hint="default"/>
      </w:rPr>
    </w:lvl>
    <w:lvl w:ilvl="6" w:tplc="041D0001" w:tentative="1">
      <w:start w:val="1"/>
      <w:numFmt w:val="bullet"/>
      <w:lvlText w:val=""/>
      <w:lvlJc w:val="left"/>
      <w:pPr>
        <w:ind w:left="7288" w:hanging="360"/>
      </w:pPr>
      <w:rPr>
        <w:rFonts w:ascii="Symbol" w:hAnsi="Symbol" w:hint="default"/>
      </w:rPr>
    </w:lvl>
    <w:lvl w:ilvl="7" w:tplc="041D0003" w:tentative="1">
      <w:start w:val="1"/>
      <w:numFmt w:val="bullet"/>
      <w:lvlText w:val="o"/>
      <w:lvlJc w:val="left"/>
      <w:pPr>
        <w:ind w:left="8008" w:hanging="360"/>
      </w:pPr>
      <w:rPr>
        <w:rFonts w:ascii="Courier New" w:hAnsi="Courier New" w:cs="Courier New" w:hint="default"/>
      </w:rPr>
    </w:lvl>
    <w:lvl w:ilvl="8" w:tplc="041D0005" w:tentative="1">
      <w:start w:val="1"/>
      <w:numFmt w:val="bullet"/>
      <w:lvlText w:val=""/>
      <w:lvlJc w:val="left"/>
      <w:pPr>
        <w:ind w:left="8728" w:hanging="360"/>
      </w:pPr>
      <w:rPr>
        <w:rFonts w:ascii="Wingdings" w:hAnsi="Wingdings" w:hint="default"/>
      </w:rPr>
    </w:lvl>
  </w:abstractNum>
  <w:abstractNum w:abstractNumId="14"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655E95"/>
    <w:multiLevelType w:val="hybridMultilevel"/>
    <w:tmpl w:val="940070D2"/>
    <w:lvl w:ilvl="0" w:tplc="041D0001">
      <w:start w:val="1"/>
      <w:numFmt w:val="bullet"/>
      <w:lvlText w:val=""/>
      <w:lvlJc w:val="left"/>
      <w:pPr>
        <w:ind w:left="3328" w:hanging="360"/>
      </w:pPr>
      <w:rPr>
        <w:rFonts w:ascii="Symbol" w:hAnsi="Symbol" w:hint="default"/>
      </w:rPr>
    </w:lvl>
    <w:lvl w:ilvl="1" w:tplc="041D0003" w:tentative="1">
      <w:start w:val="1"/>
      <w:numFmt w:val="bullet"/>
      <w:lvlText w:val="o"/>
      <w:lvlJc w:val="left"/>
      <w:pPr>
        <w:ind w:left="4048" w:hanging="360"/>
      </w:pPr>
      <w:rPr>
        <w:rFonts w:ascii="Courier New" w:hAnsi="Courier New" w:cs="Courier New" w:hint="default"/>
      </w:rPr>
    </w:lvl>
    <w:lvl w:ilvl="2" w:tplc="041D0005" w:tentative="1">
      <w:start w:val="1"/>
      <w:numFmt w:val="bullet"/>
      <w:lvlText w:val=""/>
      <w:lvlJc w:val="left"/>
      <w:pPr>
        <w:ind w:left="4768" w:hanging="360"/>
      </w:pPr>
      <w:rPr>
        <w:rFonts w:ascii="Wingdings" w:hAnsi="Wingdings" w:hint="default"/>
      </w:rPr>
    </w:lvl>
    <w:lvl w:ilvl="3" w:tplc="041D0001" w:tentative="1">
      <w:start w:val="1"/>
      <w:numFmt w:val="bullet"/>
      <w:lvlText w:val=""/>
      <w:lvlJc w:val="left"/>
      <w:pPr>
        <w:ind w:left="5488" w:hanging="360"/>
      </w:pPr>
      <w:rPr>
        <w:rFonts w:ascii="Symbol" w:hAnsi="Symbol" w:hint="default"/>
      </w:rPr>
    </w:lvl>
    <w:lvl w:ilvl="4" w:tplc="041D0003" w:tentative="1">
      <w:start w:val="1"/>
      <w:numFmt w:val="bullet"/>
      <w:lvlText w:val="o"/>
      <w:lvlJc w:val="left"/>
      <w:pPr>
        <w:ind w:left="6208" w:hanging="360"/>
      </w:pPr>
      <w:rPr>
        <w:rFonts w:ascii="Courier New" w:hAnsi="Courier New" w:cs="Courier New" w:hint="default"/>
      </w:rPr>
    </w:lvl>
    <w:lvl w:ilvl="5" w:tplc="041D0005" w:tentative="1">
      <w:start w:val="1"/>
      <w:numFmt w:val="bullet"/>
      <w:lvlText w:val=""/>
      <w:lvlJc w:val="left"/>
      <w:pPr>
        <w:ind w:left="6928" w:hanging="360"/>
      </w:pPr>
      <w:rPr>
        <w:rFonts w:ascii="Wingdings" w:hAnsi="Wingdings" w:hint="default"/>
      </w:rPr>
    </w:lvl>
    <w:lvl w:ilvl="6" w:tplc="041D0001" w:tentative="1">
      <w:start w:val="1"/>
      <w:numFmt w:val="bullet"/>
      <w:lvlText w:val=""/>
      <w:lvlJc w:val="left"/>
      <w:pPr>
        <w:ind w:left="7648" w:hanging="360"/>
      </w:pPr>
      <w:rPr>
        <w:rFonts w:ascii="Symbol" w:hAnsi="Symbol" w:hint="default"/>
      </w:rPr>
    </w:lvl>
    <w:lvl w:ilvl="7" w:tplc="041D0003" w:tentative="1">
      <w:start w:val="1"/>
      <w:numFmt w:val="bullet"/>
      <w:lvlText w:val="o"/>
      <w:lvlJc w:val="left"/>
      <w:pPr>
        <w:ind w:left="8368" w:hanging="360"/>
      </w:pPr>
      <w:rPr>
        <w:rFonts w:ascii="Courier New" w:hAnsi="Courier New" w:cs="Courier New" w:hint="default"/>
      </w:rPr>
    </w:lvl>
    <w:lvl w:ilvl="8" w:tplc="041D0005" w:tentative="1">
      <w:start w:val="1"/>
      <w:numFmt w:val="bullet"/>
      <w:lvlText w:val=""/>
      <w:lvlJc w:val="left"/>
      <w:pPr>
        <w:ind w:left="9088" w:hanging="360"/>
      </w:pPr>
      <w:rPr>
        <w:rFonts w:ascii="Wingdings" w:hAnsi="Wingdings" w:hint="default"/>
      </w:rPr>
    </w:lvl>
  </w:abstractNum>
  <w:abstractNum w:abstractNumId="17"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01631FC"/>
    <w:multiLevelType w:val="hybridMultilevel"/>
    <w:tmpl w:val="AF1655B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815E9506"/>
    <w:lvl w:ilvl="0" w:tplc="967EE2A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26"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7"/>
  </w:num>
  <w:num w:numId="3">
    <w:abstractNumId w:val="24"/>
  </w:num>
  <w:num w:numId="4">
    <w:abstractNumId w:val="4"/>
  </w:num>
  <w:num w:numId="5">
    <w:abstractNumId w:val="6"/>
  </w:num>
  <w:num w:numId="6">
    <w:abstractNumId w:val="27"/>
  </w:num>
  <w:num w:numId="7">
    <w:abstractNumId w:val="26"/>
  </w:num>
  <w:num w:numId="8">
    <w:abstractNumId w:val="15"/>
  </w:num>
  <w:num w:numId="9">
    <w:abstractNumId w:val="20"/>
  </w:num>
  <w:num w:numId="10">
    <w:abstractNumId w:val="8"/>
  </w:num>
  <w:num w:numId="11">
    <w:abstractNumId w:val="10"/>
  </w:num>
  <w:num w:numId="12">
    <w:abstractNumId w:val="0"/>
  </w:num>
  <w:num w:numId="13">
    <w:abstractNumId w:val="30"/>
  </w:num>
  <w:num w:numId="14">
    <w:abstractNumId w:val="21"/>
  </w:num>
  <w:num w:numId="15">
    <w:abstractNumId w:val="28"/>
  </w:num>
  <w:num w:numId="16">
    <w:abstractNumId w:val="18"/>
  </w:num>
  <w:num w:numId="17">
    <w:abstractNumId w:val="5"/>
  </w:num>
  <w:num w:numId="18">
    <w:abstractNumId w:val="11"/>
  </w:num>
  <w:num w:numId="19">
    <w:abstractNumId w:val="17"/>
  </w:num>
  <w:num w:numId="20">
    <w:abstractNumId w:val="23"/>
  </w:num>
  <w:num w:numId="21">
    <w:abstractNumId w:val="23"/>
    <w:lvlOverride w:ilvl="0">
      <w:startOverride w:val="1"/>
    </w:lvlOverride>
  </w:num>
  <w:num w:numId="22">
    <w:abstractNumId w:val="14"/>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12"/>
  </w:num>
  <w:num w:numId="27">
    <w:abstractNumId w:val="12"/>
    <w:lvlOverride w:ilvl="0">
      <w:startOverride w:val="1"/>
    </w:lvlOverride>
  </w:num>
  <w:num w:numId="28">
    <w:abstractNumId w:val="12"/>
    <w:lvlOverride w:ilvl="0">
      <w:startOverride w:val="1"/>
    </w:lvlOverride>
  </w:num>
  <w:num w:numId="29">
    <w:abstractNumId w:val="23"/>
    <w:lvlOverride w:ilvl="0">
      <w:startOverride w:val="1"/>
    </w:lvlOverride>
  </w:num>
  <w:num w:numId="30">
    <w:abstractNumId w:val="16"/>
  </w:num>
  <w:num w:numId="31">
    <w:abstractNumId w:val="13"/>
  </w:num>
  <w:num w:numId="32">
    <w:abstractNumId w:val="9"/>
  </w:num>
  <w:num w:numId="33">
    <w:abstractNumId w:val="19"/>
  </w:num>
  <w:num w:numId="34">
    <w:abstractNumId w:val="25"/>
  </w:num>
  <w:num w:numId="35">
    <w:abstractNumId w:val="1"/>
  </w:num>
  <w:num w:numId="36">
    <w:abstractNumId w:val="22"/>
  </w:num>
  <w:num w:numId="37">
    <w:abstractNumId w:val="3"/>
  </w:num>
  <w:num w:numId="38">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4728"/>
    <w:rsid w:val="000074C3"/>
    <w:rsid w:val="000223B1"/>
    <w:rsid w:val="00033DB1"/>
    <w:rsid w:val="00034655"/>
    <w:rsid w:val="0003576F"/>
    <w:rsid w:val="00044B45"/>
    <w:rsid w:val="00060D4C"/>
    <w:rsid w:val="00070C96"/>
    <w:rsid w:val="00076C9B"/>
    <w:rsid w:val="0009275B"/>
    <w:rsid w:val="000B099D"/>
    <w:rsid w:val="000B2AAB"/>
    <w:rsid w:val="000C5748"/>
    <w:rsid w:val="000E2930"/>
    <w:rsid w:val="000F18A6"/>
    <w:rsid w:val="000F21DB"/>
    <w:rsid w:val="000F2374"/>
    <w:rsid w:val="000F23D8"/>
    <w:rsid w:val="001000D4"/>
    <w:rsid w:val="00110D57"/>
    <w:rsid w:val="00115D89"/>
    <w:rsid w:val="00124439"/>
    <w:rsid w:val="001247E7"/>
    <w:rsid w:val="00131486"/>
    <w:rsid w:val="00135152"/>
    <w:rsid w:val="00144109"/>
    <w:rsid w:val="00145AFF"/>
    <w:rsid w:val="001641D3"/>
    <w:rsid w:val="00166F4B"/>
    <w:rsid w:val="0018479E"/>
    <w:rsid w:val="00184986"/>
    <w:rsid w:val="0019077E"/>
    <w:rsid w:val="0019204A"/>
    <w:rsid w:val="0019785D"/>
    <w:rsid w:val="001B257C"/>
    <w:rsid w:val="001C52E2"/>
    <w:rsid w:val="001C6139"/>
    <w:rsid w:val="001C7583"/>
    <w:rsid w:val="001D1EF5"/>
    <w:rsid w:val="001D28EA"/>
    <w:rsid w:val="001D34B8"/>
    <w:rsid w:val="001E2A5B"/>
    <w:rsid w:val="001E408D"/>
    <w:rsid w:val="00214E7A"/>
    <w:rsid w:val="00214F90"/>
    <w:rsid w:val="00215A55"/>
    <w:rsid w:val="002171BE"/>
    <w:rsid w:val="002206C7"/>
    <w:rsid w:val="00226CF4"/>
    <w:rsid w:val="00230BB4"/>
    <w:rsid w:val="00231382"/>
    <w:rsid w:val="00234A0B"/>
    <w:rsid w:val="0023586C"/>
    <w:rsid w:val="00235ED9"/>
    <w:rsid w:val="00236CFB"/>
    <w:rsid w:val="00256BF7"/>
    <w:rsid w:val="00265F70"/>
    <w:rsid w:val="002729FE"/>
    <w:rsid w:val="00272EDD"/>
    <w:rsid w:val="002855B8"/>
    <w:rsid w:val="00291B82"/>
    <w:rsid w:val="002A1F30"/>
    <w:rsid w:val="002A3D75"/>
    <w:rsid w:val="002A609B"/>
    <w:rsid w:val="002B7A4C"/>
    <w:rsid w:val="002C3644"/>
    <w:rsid w:val="002C50E8"/>
    <w:rsid w:val="002D1B27"/>
    <w:rsid w:val="002D63E2"/>
    <w:rsid w:val="002D67D6"/>
    <w:rsid w:val="002E047B"/>
    <w:rsid w:val="002E0DBC"/>
    <w:rsid w:val="002E5A06"/>
    <w:rsid w:val="002F078F"/>
    <w:rsid w:val="002F2EC8"/>
    <w:rsid w:val="002F5311"/>
    <w:rsid w:val="0030320B"/>
    <w:rsid w:val="00316D08"/>
    <w:rsid w:val="00317A72"/>
    <w:rsid w:val="00323DD5"/>
    <w:rsid w:val="00331DEA"/>
    <w:rsid w:val="00336FAC"/>
    <w:rsid w:val="00342EEB"/>
    <w:rsid w:val="00370C8D"/>
    <w:rsid w:val="003714DF"/>
    <w:rsid w:val="00373606"/>
    <w:rsid w:val="00373D8C"/>
    <w:rsid w:val="003832F2"/>
    <w:rsid w:val="00383A16"/>
    <w:rsid w:val="003A18E5"/>
    <w:rsid w:val="003A3283"/>
    <w:rsid w:val="003B4291"/>
    <w:rsid w:val="003B7A6D"/>
    <w:rsid w:val="003C670C"/>
    <w:rsid w:val="003E0A68"/>
    <w:rsid w:val="003E4CA9"/>
    <w:rsid w:val="00400210"/>
    <w:rsid w:val="0040255D"/>
    <w:rsid w:val="0041022A"/>
    <w:rsid w:val="00415ABF"/>
    <w:rsid w:val="004273F0"/>
    <w:rsid w:val="00441B3F"/>
    <w:rsid w:val="00444D66"/>
    <w:rsid w:val="004668BF"/>
    <w:rsid w:val="00473603"/>
    <w:rsid w:val="0048222B"/>
    <w:rsid w:val="0048355A"/>
    <w:rsid w:val="0048486E"/>
    <w:rsid w:val="004867E7"/>
    <w:rsid w:val="00487D65"/>
    <w:rsid w:val="00492B57"/>
    <w:rsid w:val="0049584C"/>
    <w:rsid w:val="004B6F4C"/>
    <w:rsid w:val="004C2A15"/>
    <w:rsid w:val="004D6E38"/>
    <w:rsid w:val="004E1B57"/>
    <w:rsid w:val="004E2124"/>
    <w:rsid w:val="004E5060"/>
    <w:rsid w:val="004F4D89"/>
    <w:rsid w:val="00504703"/>
    <w:rsid w:val="005057E7"/>
    <w:rsid w:val="005077C1"/>
    <w:rsid w:val="005108A8"/>
    <w:rsid w:val="00511F38"/>
    <w:rsid w:val="00520CE1"/>
    <w:rsid w:val="00520D73"/>
    <w:rsid w:val="00526125"/>
    <w:rsid w:val="00527364"/>
    <w:rsid w:val="00530BD4"/>
    <w:rsid w:val="0053114C"/>
    <w:rsid w:val="00532222"/>
    <w:rsid w:val="00532427"/>
    <w:rsid w:val="00542D11"/>
    <w:rsid w:val="00547DFF"/>
    <w:rsid w:val="005547CA"/>
    <w:rsid w:val="00565B95"/>
    <w:rsid w:val="00585069"/>
    <w:rsid w:val="005859AB"/>
    <w:rsid w:val="00590E17"/>
    <w:rsid w:val="00590EF8"/>
    <w:rsid w:val="005A4E08"/>
    <w:rsid w:val="005A4F7A"/>
    <w:rsid w:val="005B6C13"/>
    <w:rsid w:val="005C21F1"/>
    <w:rsid w:val="005C71B9"/>
    <w:rsid w:val="005D12B5"/>
    <w:rsid w:val="005D1312"/>
    <w:rsid w:val="005D3E4A"/>
    <w:rsid w:val="005E1A98"/>
    <w:rsid w:val="005F5BD8"/>
    <w:rsid w:val="005F6966"/>
    <w:rsid w:val="00606FB7"/>
    <w:rsid w:val="0061015C"/>
    <w:rsid w:val="00626F61"/>
    <w:rsid w:val="00634007"/>
    <w:rsid w:val="0065537B"/>
    <w:rsid w:val="00661038"/>
    <w:rsid w:val="006725AD"/>
    <w:rsid w:val="00680508"/>
    <w:rsid w:val="00683B0F"/>
    <w:rsid w:val="00683C18"/>
    <w:rsid w:val="00690270"/>
    <w:rsid w:val="00690DAB"/>
    <w:rsid w:val="0069145A"/>
    <w:rsid w:val="00691FA2"/>
    <w:rsid w:val="006A10C5"/>
    <w:rsid w:val="006A3E8B"/>
    <w:rsid w:val="006B299F"/>
    <w:rsid w:val="006B66A4"/>
    <w:rsid w:val="006C2388"/>
    <w:rsid w:val="006C2606"/>
    <w:rsid w:val="006C27B8"/>
    <w:rsid w:val="006C2A27"/>
    <w:rsid w:val="006C7C52"/>
    <w:rsid w:val="006D0174"/>
    <w:rsid w:val="006E7034"/>
    <w:rsid w:val="006F6CFE"/>
    <w:rsid w:val="0070518E"/>
    <w:rsid w:val="0071476D"/>
    <w:rsid w:val="0072138D"/>
    <w:rsid w:val="00726B0C"/>
    <w:rsid w:val="00735B65"/>
    <w:rsid w:val="00740376"/>
    <w:rsid w:val="007425D1"/>
    <w:rsid w:val="0074430C"/>
    <w:rsid w:val="00752DE4"/>
    <w:rsid w:val="00762D67"/>
    <w:rsid w:val="00764302"/>
    <w:rsid w:val="00764741"/>
    <w:rsid w:val="00767270"/>
    <w:rsid w:val="0076774D"/>
    <w:rsid w:val="00772F85"/>
    <w:rsid w:val="00781172"/>
    <w:rsid w:val="007944CD"/>
    <w:rsid w:val="0079716C"/>
    <w:rsid w:val="007A1D62"/>
    <w:rsid w:val="007A3497"/>
    <w:rsid w:val="007A49B4"/>
    <w:rsid w:val="007A5381"/>
    <w:rsid w:val="007A6DCD"/>
    <w:rsid w:val="007B2CD1"/>
    <w:rsid w:val="007B5B1E"/>
    <w:rsid w:val="007B6458"/>
    <w:rsid w:val="007B67D9"/>
    <w:rsid w:val="007B72F8"/>
    <w:rsid w:val="007C3A98"/>
    <w:rsid w:val="007D0116"/>
    <w:rsid w:val="007D1E11"/>
    <w:rsid w:val="007E542E"/>
    <w:rsid w:val="007F391F"/>
    <w:rsid w:val="007F4309"/>
    <w:rsid w:val="007F57EE"/>
    <w:rsid w:val="0080004A"/>
    <w:rsid w:val="008026BF"/>
    <w:rsid w:val="0080359B"/>
    <w:rsid w:val="00807D0B"/>
    <w:rsid w:val="00807E3F"/>
    <w:rsid w:val="00811EFB"/>
    <w:rsid w:val="00837019"/>
    <w:rsid w:val="0083769D"/>
    <w:rsid w:val="00861E91"/>
    <w:rsid w:val="008811EA"/>
    <w:rsid w:val="00893B6E"/>
    <w:rsid w:val="008A2E43"/>
    <w:rsid w:val="008A4CD1"/>
    <w:rsid w:val="008A60AE"/>
    <w:rsid w:val="008C3252"/>
    <w:rsid w:val="008D7DCB"/>
    <w:rsid w:val="008E1D3A"/>
    <w:rsid w:val="008F0FDC"/>
    <w:rsid w:val="008F7F6E"/>
    <w:rsid w:val="00903A30"/>
    <w:rsid w:val="00914A36"/>
    <w:rsid w:val="00924144"/>
    <w:rsid w:val="009258EC"/>
    <w:rsid w:val="00942865"/>
    <w:rsid w:val="009429F1"/>
    <w:rsid w:val="00947DFF"/>
    <w:rsid w:val="00954671"/>
    <w:rsid w:val="009634C5"/>
    <w:rsid w:val="00973C6A"/>
    <w:rsid w:val="00976AEB"/>
    <w:rsid w:val="009908AB"/>
    <w:rsid w:val="0099196F"/>
    <w:rsid w:val="00993A47"/>
    <w:rsid w:val="00996790"/>
    <w:rsid w:val="0099749A"/>
    <w:rsid w:val="009A014A"/>
    <w:rsid w:val="009A0598"/>
    <w:rsid w:val="009A1B82"/>
    <w:rsid w:val="009A416D"/>
    <w:rsid w:val="009C218E"/>
    <w:rsid w:val="009C5D97"/>
    <w:rsid w:val="009C69A0"/>
    <w:rsid w:val="009D619B"/>
    <w:rsid w:val="009E2DCF"/>
    <w:rsid w:val="009E4675"/>
    <w:rsid w:val="009E483B"/>
    <w:rsid w:val="009F30ED"/>
    <w:rsid w:val="009F3691"/>
    <w:rsid w:val="00A24B08"/>
    <w:rsid w:val="00A44C89"/>
    <w:rsid w:val="00A5071C"/>
    <w:rsid w:val="00A51E0E"/>
    <w:rsid w:val="00A54000"/>
    <w:rsid w:val="00A64568"/>
    <w:rsid w:val="00A6630B"/>
    <w:rsid w:val="00A74102"/>
    <w:rsid w:val="00A75EA7"/>
    <w:rsid w:val="00A76BD6"/>
    <w:rsid w:val="00A82B2A"/>
    <w:rsid w:val="00A84F59"/>
    <w:rsid w:val="00A8529A"/>
    <w:rsid w:val="00A87D14"/>
    <w:rsid w:val="00A90551"/>
    <w:rsid w:val="00A914A6"/>
    <w:rsid w:val="00A938D8"/>
    <w:rsid w:val="00A9514A"/>
    <w:rsid w:val="00AB7E7C"/>
    <w:rsid w:val="00AC4362"/>
    <w:rsid w:val="00AD204B"/>
    <w:rsid w:val="00AD78DB"/>
    <w:rsid w:val="00AE3D58"/>
    <w:rsid w:val="00AF039F"/>
    <w:rsid w:val="00AF151C"/>
    <w:rsid w:val="00AF63BA"/>
    <w:rsid w:val="00AF7BE8"/>
    <w:rsid w:val="00B14E28"/>
    <w:rsid w:val="00B15367"/>
    <w:rsid w:val="00B16E66"/>
    <w:rsid w:val="00B21F12"/>
    <w:rsid w:val="00B30DF0"/>
    <w:rsid w:val="00B4261B"/>
    <w:rsid w:val="00B54E77"/>
    <w:rsid w:val="00B877C9"/>
    <w:rsid w:val="00B94B85"/>
    <w:rsid w:val="00B951BF"/>
    <w:rsid w:val="00B96696"/>
    <w:rsid w:val="00BA0040"/>
    <w:rsid w:val="00BA5879"/>
    <w:rsid w:val="00BA6D13"/>
    <w:rsid w:val="00BB55EA"/>
    <w:rsid w:val="00BB62C2"/>
    <w:rsid w:val="00BB7B69"/>
    <w:rsid w:val="00BC2903"/>
    <w:rsid w:val="00BC3688"/>
    <w:rsid w:val="00BD1014"/>
    <w:rsid w:val="00BD73FC"/>
    <w:rsid w:val="00BE3F98"/>
    <w:rsid w:val="00BE45AC"/>
    <w:rsid w:val="00BE5128"/>
    <w:rsid w:val="00BE5C81"/>
    <w:rsid w:val="00BE6219"/>
    <w:rsid w:val="00BF6A02"/>
    <w:rsid w:val="00BF6FE0"/>
    <w:rsid w:val="00C0075C"/>
    <w:rsid w:val="00C15868"/>
    <w:rsid w:val="00C23268"/>
    <w:rsid w:val="00C276CE"/>
    <w:rsid w:val="00C3664D"/>
    <w:rsid w:val="00C4027E"/>
    <w:rsid w:val="00C507AA"/>
    <w:rsid w:val="00C53334"/>
    <w:rsid w:val="00C53EF9"/>
    <w:rsid w:val="00C602B5"/>
    <w:rsid w:val="00C62BD5"/>
    <w:rsid w:val="00C66D84"/>
    <w:rsid w:val="00C70ABC"/>
    <w:rsid w:val="00C7219C"/>
    <w:rsid w:val="00C83715"/>
    <w:rsid w:val="00C90B57"/>
    <w:rsid w:val="00C92E55"/>
    <w:rsid w:val="00CA0C39"/>
    <w:rsid w:val="00CA3E32"/>
    <w:rsid w:val="00CA4F37"/>
    <w:rsid w:val="00CB4EC9"/>
    <w:rsid w:val="00CC1467"/>
    <w:rsid w:val="00CC3315"/>
    <w:rsid w:val="00CC48E7"/>
    <w:rsid w:val="00CD4040"/>
    <w:rsid w:val="00CD516C"/>
    <w:rsid w:val="00CE0640"/>
    <w:rsid w:val="00CE21B0"/>
    <w:rsid w:val="00CF421C"/>
    <w:rsid w:val="00D13D44"/>
    <w:rsid w:val="00D3689C"/>
    <w:rsid w:val="00D37C8E"/>
    <w:rsid w:val="00D566B1"/>
    <w:rsid w:val="00D621DA"/>
    <w:rsid w:val="00D66992"/>
    <w:rsid w:val="00D67414"/>
    <w:rsid w:val="00D8081A"/>
    <w:rsid w:val="00D869BE"/>
    <w:rsid w:val="00D9165A"/>
    <w:rsid w:val="00D944C7"/>
    <w:rsid w:val="00DA4A64"/>
    <w:rsid w:val="00DB6BE4"/>
    <w:rsid w:val="00DC0675"/>
    <w:rsid w:val="00DC2CA7"/>
    <w:rsid w:val="00DC7C38"/>
    <w:rsid w:val="00DD0730"/>
    <w:rsid w:val="00DD5412"/>
    <w:rsid w:val="00DD7CCD"/>
    <w:rsid w:val="00DF56D5"/>
    <w:rsid w:val="00DF5EB2"/>
    <w:rsid w:val="00E00EFA"/>
    <w:rsid w:val="00E12A54"/>
    <w:rsid w:val="00E20C90"/>
    <w:rsid w:val="00E20D7D"/>
    <w:rsid w:val="00E21075"/>
    <w:rsid w:val="00E22DC1"/>
    <w:rsid w:val="00E27847"/>
    <w:rsid w:val="00E27C3F"/>
    <w:rsid w:val="00E31DB5"/>
    <w:rsid w:val="00E35731"/>
    <w:rsid w:val="00E359F1"/>
    <w:rsid w:val="00E36806"/>
    <w:rsid w:val="00E44BFA"/>
    <w:rsid w:val="00E4733D"/>
    <w:rsid w:val="00E51B01"/>
    <w:rsid w:val="00E545C0"/>
    <w:rsid w:val="00E97B72"/>
    <w:rsid w:val="00EA1C57"/>
    <w:rsid w:val="00EC0724"/>
    <w:rsid w:val="00EC5290"/>
    <w:rsid w:val="00ED364B"/>
    <w:rsid w:val="00ED62D5"/>
    <w:rsid w:val="00EF58DE"/>
    <w:rsid w:val="00EF7330"/>
    <w:rsid w:val="00F10A3C"/>
    <w:rsid w:val="00F200EE"/>
    <w:rsid w:val="00F20A57"/>
    <w:rsid w:val="00F20CDA"/>
    <w:rsid w:val="00F348A6"/>
    <w:rsid w:val="00F3502B"/>
    <w:rsid w:val="00F35DB1"/>
    <w:rsid w:val="00F41BCF"/>
    <w:rsid w:val="00F42188"/>
    <w:rsid w:val="00F46047"/>
    <w:rsid w:val="00F7213E"/>
    <w:rsid w:val="00F722C4"/>
    <w:rsid w:val="00F7291D"/>
    <w:rsid w:val="00F7520F"/>
    <w:rsid w:val="00FA0559"/>
    <w:rsid w:val="00FA321F"/>
    <w:rsid w:val="00FA4716"/>
    <w:rsid w:val="00FA4DE5"/>
    <w:rsid w:val="00FB20ED"/>
    <w:rsid w:val="00FE74BF"/>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5AC"/>
    <w:pPr>
      <w:spacing w:before="120" w:after="0" w:line="259" w:lineRule="auto"/>
      <w:jc w:val="both"/>
    </w:pPr>
    <w:rPr>
      <w:rFonts w:ascii="Arial" w:eastAsia="MS Mincho" w:hAnsi="Arial" w:cs="Arial"/>
      <w:sz w:val="20"/>
      <w:szCs w:val="24"/>
      <w:lang w:val="en-GB"/>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b/>
      <w:bCs/>
      <w:sz w:val="28"/>
      <w:szCs w:val="28"/>
    </w:rPr>
  </w:style>
  <w:style w:type="paragraph" w:styleId="Heading5">
    <w:name w:val="heading 5"/>
    <w:basedOn w:val="Heading4"/>
    <w:next w:val="BodyText"/>
    <w:link w:val="Heading5Char"/>
    <w:qFormat/>
    <w:rsid w:val="00D944C7"/>
    <w:pPr>
      <w:numPr>
        <w:ilvl w:val="0"/>
        <w:numId w:val="0"/>
      </w:numPr>
      <w:tabs>
        <w:tab w:val="left" w:pos="-25510"/>
        <w:tab w:val="left" w:pos="-24206"/>
      </w:tabs>
      <w:suppressAutoHyphens/>
      <w:autoSpaceDN w:val="0"/>
      <w:spacing w:before="360"/>
      <w:ind w:left="2552" w:hanging="1248"/>
      <w:textAlignment w:val="baseline"/>
      <w:outlineLvl w:val="4"/>
    </w:pPr>
    <w:rPr>
      <w:rFonts w:eastAsia="Times New Roman"/>
      <w:b w:val="0"/>
      <w:iCs/>
      <w:kern w:val="3"/>
      <w:sz w:val="22"/>
      <w:szCs w:val="26"/>
    </w:rPr>
  </w:style>
  <w:style w:type="paragraph" w:styleId="Heading6">
    <w:name w:val="heading 6"/>
    <w:basedOn w:val="Normal"/>
    <w:next w:val="Normal"/>
    <w:link w:val="Heading6Char"/>
    <w:qFormat/>
    <w:rsid w:val="002855B8"/>
    <w:pPr>
      <w:keepNext/>
      <w:keepLines/>
      <w:tabs>
        <w:tab w:val="num" w:pos="1152"/>
      </w:tabs>
      <w:spacing w:after="160"/>
      <w:ind w:left="1152" w:hanging="1152"/>
      <w:jc w:val="left"/>
      <w:outlineLvl w:val="5"/>
    </w:pPr>
    <w:rPr>
      <w:rFonts w:asciiTheme="minorHAnsi" w:eastAsiaTheme="minorHAnsi" w:hAnsiTheme="minorHAnsi"/>
      <w:sz w:val="22"/>
      <w:szCs w:val="22"/>
      <w:lang w:val="en-US"/>
    </w:rPr>
  </w:style>
  <w:style w:type="paragraph" w:styleId="Heading7">
    <w:name w:val="heading 7"/>
    <w:basedOn w:val="Normal"/>
    <w:next w:val="Normal"/>
    <w:link w:val="Heading7Char"/>
    <w:qFormat/>
    <w:rsid w:val="002855B8"/>
    <w:pPr>
      <w:keepNext/>
      <w:keepLines/>
      <w:tabs>
        <w:tab w:val="num" w:pos="1296"/>
      </w:tabs>
      <w:spacing w:after="160"/>
      <w:ind w:left="1296" w:hanging="1296"/>
      <w:jc w:val="left"/>
      <w:outlineLvl w:val="6"/>
    </w:pPr>
    <w:rPr>
      <w:rFonts w:asciiTheme="minorHAnsi" w:eastAsiaTheme="minorHAnsi" w:hAnsiTheme="minorHAnsi"/>
      <w:sz w:val="22"/>
      <w:szCs w:val="22"/>
      <w:lang w:val="en-US"/>
    </w:rPr>
  </w:style>
  <w:style w:type="paragraph" w:styleId="Heading8">
    <w:name w:val="heading 8"/>
    <w:basedOn w:val="Heading7"/>
    <w:next w:val="Normal"/>
    <w:link w:val="Heading8Char"/>
    <w:qFormat/>
    <w:rsid w:val="002855B8"/>
    <w:pPr>
      <w:tabs>
        <w:tab w:val="clear" w:pos="1296"/>
        <w:tab w:val="num" w:pos="1440"/>
      </w:tabs>
      <w:ind w:left="1440" w:hanging="1440"/>
      <w:outlineLvl w:val="7"/>
    </w:pPr>
  </w:style>
  <w:style w:type="paragraph" w:styleId="Heading9">
    <w:name w:val="heading 9"/>
    <w:basedOn w:val="Heading8"/>
    <w:next w:val="Normal"/>
    <w:link w:val="Heading9Char"/>
    <w:qFormat/>
    <w:rsid w:val="002855B8"/>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p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72"/>
    <w:qFormat/>
    <w:rsid w:val="00764741"/>
    <w:pPr>
      <w:overflowPunct w:val="0"/>
      <w:autoSpaceDE w:val="0"/>
      <w:autoSpaceDN w:val="0"/>
      <w:adjustRightInd w:val="0"/>
      <w:spacing w:after="180"/>
      <w:ind w:left="720"/>
      <w:contextualSpacing/>
      <w:textAlignment w:val="baseline"/>
    </w:pPr>
    <w:rPr>
      <w:rFonts w:eastAsia="SimSun"/>
      <w:szCs w:val="20"/>
      <w:lang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nhideWhenUsed/>
    <w:rsid w:val="0030320B"/>
    <w:rPr>
      <w:szCs w:val="20"/>
    </w:rPr>
  </w:style>
  <w:style w:type="character" w:customStyle="1" w:styleId="FootnoteTextChar">
    <w:name w:val="Footnote Text Char"/>
    <w:basedOn w:val="DefaultParagraphFont"/>
    <w:link w:val="FootnoteText"/>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070C96"/>
    <w:pPr>
      <w:numPr>
        <w:numId w:val="20"/>
      </w:numPr>
      <w:tabs>
        <w:tab w:val="left" w:pos="1701"/>
      </w:tabs>
      <w:spacing w:after="160"/>
      <w:ind w:left="1701" w:hanging="1701"/>
    </w:pPr>
    <w:rPr>
      <w:rFonts w:eastAsiaTheme="minorHAnsi"/>
      <w:b/>
      <w:bCs/>
      <w:szCs w:val="22"/>
      <w:lang w:val="en-US"/>
    </w:rPr>
  </w:style>
  <w:style w:type="character" w:customStyle="1" w:styleId="Heading5Char">
    <w:name w:val="Heading 5 Char"/>
    <w:basedOn w:val="DefaultParagraphFont"/>
    <w:link w:val="Heading5"/>
    <w:rsid w:val="00D944C7"/>
    <w:rPr>
      <w:rFonts w:ascii="Arial" w:eastAsia="Times New Roman" w:hAnsi="Arial" w:cs="Times New Roman"/>
      <w:bCs/>
      <w:iCs/>
      <w:kern w:val="3"/>
      <w:szCs w:val="26"/>
      <w:lang w:val="en-GB"/>
    </w:rPr>
  </w:style>
  <w:style w:type="numbering" w:customStyle="1" w:styleId="WWOutlineListStyle11">
    <w:name w:val="WW_OutlineListStyle_11"/>
    <w:basedOn w:val="NoList"/>
    <w:rsid w:val="00D944C7"/>
    <w:pPr>
      <w:numPr>
        <w:numId w:val="22"/>
      </w:numPr>
    </w:pPr>
  </w:style>
  <w:style w:type="paragraph" w:customStyle="1" w:styleId="Proposal">
    <w:name w:val="Proposal"/>
    <w:basedOn w:val="Normal"/>
    <w:qFormat/>
    <w:rsid w:val="00070C96"/>
    <w:pPr>
      <w:numPr>
        <w:numId w:val="26"/>
      </w:numPr>
      <w:tabs>
        <w:tab w:val="left" w:pos="1701"/>
      </w:tabs>
      <w:spacing w:after="160" w:line="256" w:lineRule="auto"/>
    </w:pPr>
    <w:rPr>
      <w:rFonts w:eastAsiaTheme="minorHAnsi"/>
      <w:b/>
      <w:bCs/>
      <w:szCs w:val="22"/>
      <w:lang w:val="en-US"/>
    </w:rPr>
  </w:style>
  <w:style w:type="paragraph" w:styleId="EndnoteText">
    <w:name w:val="endnote text"/>
    <w:basedOn w:val="Normal"/>
    <w:link w:val="EndnoteTextChar"/>
    <w:rsid w:val="00976AEB"/>
    <w:pPr>
      <w:suppressAutoHyphens/>
      <w:autoSpaceDN w:val="0"/>
      <w:textAlignment w:val="baseline"/>
    </w:pPr>
    <w:rPr>
      <w:szCs w:val="20"/>
    </w:rPr>
  </w:style>
  <w:style w:type="character" w:customStyle="1" w:styleId="EndnoteTextChar">
    <w:name w:val="Endnote Text Char"/>
    <w:basedOn w:val="DefaultParagraphFont"/>
    <w:link w:val="EndnoteText"/>
    <w:rsid w:val="00976AEB"/>
    <w:rPr>
      <w:rFonts w:ascii="Arial" w:eastAsia="Times New Roman" w:hAnsi="Arial" w:cs="Times New Roman"/>
      <w:sz w:val="20"/>
      <w:szCs w:val="20"/>
      <w:lang w:val="en-GB"/>
    </w:rPr>
  </w:style>
  <w:style w:type="paragraph" w:styleId="TOC5">
    <w:name w:val="toc 5"/>
    <w:basedOn w:val="Normal"/>
    <w:next w:val="Normal"/>
    <w:autoRedefine/>
    <w:uiPriority w:val="39"/>
    <w:semiHidden/>
    <w:unhideWhenUsed/>
    <w:rsid w:val="00EF7330"/>
    <w:pPr>
      <w:spacing w:after="100"/>
      <w:ind w:left="800"/>
    </w:pPr>
  </w:style>
  <w:style w:type="paragraph" w:styleId="TOC1">
    <w:name w:val="toc 1"/>
    <w:basedOn w:val="Normal"/>
    <w:next w:val="Normal"/>
    <w:autoRedefine/>
    <w:uiPriority w:val="39"/>
    <w:unhideWhenUsed/>
    <w:rsid w:val="00EF7330"/>
    <w:pPr>
      <w:spacing w:after="100"/>
    </w:pPr>
  </w:style>
  <w:style w:type="character" w:styleId="Hyperlink">
    <w:name w:val="Hyperlink"/>
    <w:uiPriority w:val="99"/>
    <w:rsid w:val="00EF7330"/>
    <w:rPr>
      <w:color w:val="0000FF"/>
      <w:u w:val="single"/>
      <w:lang w:val="en-GB"/>
    </w:rPr>
  </w:style>
  <w:style w:type="character" w:styleId="CommentReference">
    <w:name w:val="annotation reference"/>
    <w:basedOn w:val="DefaultParagraphFont"/>
    <w:uiPriority w:val="99"/>
    <w:semiHidden/>
    <w:unhideWhenUsed/>
    <w:rsid w:val="00444D66"/>
    <w:rPr>
      <w:sz w:val="16"/>
      <w:szCs w:val="16"/>
    </w:rPr>
  </w:style>
  <w:style w:type="paragraph" w:styleId="CommentText">
    <w:name w:val="annotation text"/>
    <w:basedOn w:val="Normal"/>
    <w:link w:val="CommentTextChar"/>
    <w:uiPriority w:val="99"/>
    <w:semiHidden/>
    <w:unhideWhenUsed/>
    <w:rsid w:val="00444D66"/>
    <w:pPr>
      <w:spacing w:line="240" w:lineRule="auto"/>
    </w:pPr>
    <w:rPr>
      <w:szCs w:val="20"/>
    </w:rPr>
  </w:style>
  <w:style w:type="character" w:customStyle="1" w:styleId="CommentTextChar">
    <w:name w:val="Comment Text Char"/>
    <w:basedOn w:val="DefaultParagraphFont"/>
    <w:link w:val="CommentText"/>
    <w:uiPriority w:val="99"/>
    <w:semiHidden/>
    <w:rsid w:val="00444D66"/>
    <w:rPr>
      <w:rFonts w:ascii="Arial" w:eastAsia="MS Mincho"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444D66"/>
    <w:rPr>
      <w:b/>
      <w:bCs/>
    </w:rPr>
  </w:style>
  <w:style w:type="character" w:customStyle="1" w:styleId="CommentSubjectChar">
    <w:name w:val="Comment Subject Char"/>
    <w:basedOn w:val="CommentTextChar"/>
    <w:link w:val="CommentSubject"/>
    <w:uiPriority w:val="99"/>
    <w:semiHidden/>
    <w:rsid w:val="00444D66"/>
    <w:rPr>
      <w:rFonts w:ascii="Arial" w:eastAsia="MS Mincho" w:hAnsi="Arial" w:cs="Arial"/>
      <w:b/>
      <w:bCs/>
      <w:sz w:val="20"/>
      <w:szCs w:val="20"/>
      <w:lang w:val="en-GB"/>
    </w:rPr>
  </w:style>
  <w:style w:type="character" w:customStyle="1" w:styleId="Heading6Char">
    <w:name w:val="Heading 6 Char"/>
    <w:basedOn w:val="DefaultParagraphFont"/>
    <w:link w:val="Heading6"/>
    <w:rsid w:val="002855B8"/>
    <w:rPr>
      <w:rFonts w:cs="Arial"/>
      <w:lang w:val="en-US"/>
    </w:rPr>
  </w:style>
  <w:style w:type="character" w:customStyle="1" w:styleId="Heading7Char">
    <w:name w:val="Heading 7 Char"/>
    <w:basedOn w:val="DefaultParagraphFont"/>
    <w:link w:val="Heading7"/>
    <w:rsid w:val="002855B8"/>
    <w:rPr>
      <w:rFonts w:cs="Arial"/>
      <w:lang w:val="en-US"/>
    </w:rPr>
  </w:style>
  <w:style w:type="character" w:customStyle="1" w:styleId="Heading8Char">
    <w:name w:val="Heading 8 Char"/>
    <w:basedOn w:val="DefaultParagraphFont"/>
    <w:link w:val="Heading8"/>
    <w:rsid w:val="002855B8"/>
    <w:rPr>
      <w:rFonts w:cs="Arial"/>
      <w:lang w:val="en-US"/>
    </w:rPr>
  </w:style>
  <w:style w:type="character" w:customStyle="1" w:styleId="Heading9Char">
    <w:name w:val="Heading 9 Char"/>
    <w:basedOn w:val="DefaultParagraphFont"/>
    <w:link w:val="Heading9"/>
    <w:rsid w:val="002855B8"/>
    <w:rPr>
      <w:rFonts w:cs="Arial"/>
      <w:lang w:val="en-US"/>
    </w:rPr>
  </w:style>
  <w:style w:type="paragraph" w:styleId="NormalWeb">
    <w:name w:val="Normal (Web)"/>
    <w:basedOn w:val="Normal"/>
    <w:uiPriority w:val="99"/>
    <w:semiHidden/>
    <w:unhideWhenUsed/>
    <w:rsid w:val="004B6F4C"/>
    <w:pPr>
      <w:spacing w:before="100" w:beforeAutospacing="1" w:after="100" w:afterAutospacing="1" w:line="240" w:lineRule="auto"/>
      <w:jc w:val="left"/>
    </w:pPr>
    <w:rPr>
      <w:rFonts w:ascii="Times New Roman" w:eastAsia="Times New Roman" w:hAnsi="Times New Roman" w:cs="Times New Roman"/>
      <w:sz w:val="24"/>
      <w:lang w:val="en-US"/>
    </w:rPr>
  </w:style>
  <w:style w:type="paragraph" w:customStyle="1" w:styleId="3GPPHeader">
    <w:name w:val="3GPP_Header"/>
    <w:basedOn w:val="Normal"/>
    <w:rsid w:val="0072138D"/>
    <w:pPr>
      <w:tabs>
        <w:tab w:val="left" w:pos="1701"/>
        <w:tab w:val="right" w:pos="9639"/>
      </w:tabs>
      <w:spacing w:before="0" w:after="240"/>
      <w:jc w:val="left"/>
    </w:pPr>
    <w:rPr>
      <w:rFonts w:asciiTheme="minorHAnsi" w:eastAsiaTheme="minorHAnsi" w:hAnsiTheme="minorHAnsi" w:cstheme="minorBidi"/>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644186">
      <w:bodyDiv w:val="1"/>
      <w:marLeft w:val="0"/>
      <w:marRight w:val="0"/>
      <w:marTop w:val="0"/>
      <w:marBottom w:val="0"/>
      <w:divBdr>
        <w:top w:val="none" w:sz="0" w:space="0" w:color="auto"/>
        <w:left w:val="none" w:sz="0" w:space="0" w:color="auto"/>
        <w:bottom w:val="none" w:sz="0" w:space="0" w:color="auto"/>
        <w:right w:val="none" w:sz="0" w:space="0" w:color="auto"/>
      </w:divBdr>
      <w:divsChild>
        <w:div w:id="56974390">
          <w:marLeft w:val="274"/>
          <w:marRight w:val="0"/>
          <w:marTop w:val="115"/>
          <w:marBottom w:val="0"/>
          <w:divBdr>
            <w:top w:val="none" w:sz="0" w:space="0" w:color="auto"/>
            <w:left w:val="none" w:sz="0" w:space="0" w:color="auto"/>
            <w:bottom w:val="none" w:sz="0" w:space="0" w:color="auto"/>
            <w:right w:val="none" w:sz="0" w:space="0" w:color="auto"/>
          </w:divBdr>
        </w:div>
      </w:divsChild>
    </w:div>
    <w:div w:id="10145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253B5-0FF6-4BF5-9D24-155A8963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2018-04-07T05:56:00Z</dcterms:created>
  <dcterms:modified xsi:type="dcterms:W3CDTF">2018-04-07T05:56:00Z</dcterms:modified>
</cp:coreProperties>
</file>